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CC221" w14:textId="5BDF19A7" w:rsidR="003F28F1" w:rsidRPr="006E473F" w:rsidRDefault="003F28F1" w:rsidP="003F28F1">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6bis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41ADE">
        <w:rPr>
          <w:b/>
          <w:i/>
          <w:noProof/>
          <w:sz w:val="24"/>
          <w:szCs w:val="24"/>
          <w:lang w:eastAsia="ko-KR"/>
        </w:rPr>
        <w:t>6</w:t>
      </w:r>
      <w:r w:rsidR="00187E4C">
        <w:rPr>
          <w:b/>
          <w:i/>
          <w:noProof/>
          <w:sz w:val="24"/>
          <w:szCs w:val="24"/>
          <w:lang w:eastAsia="ko-KR"/>
        </w:rPr>
        <w:t>0</w:t>
      </w:r>
      <w:r w:rsidR="00C41ADE">
        <w:rPr>
          <w:b/>
          <w:i/>
          <w:noProof/>
          <w:sz w:val="24"/>
          <w:szCs w:val="24"/>
          <w:lang w:eastAsia="ko-KR"/>
        </w:rPr>
        <w:t>9054</w:t>
      </w:r>
    </w:p>
    <w:bookmarkEnd w:id="0"/>
    <w:bookmarkEnd w:id="1"/>
    <w:p w14:paraId="0B804455" w14:textId="77777777" w:rsidR="003F28F1" w:rsidRPr="006E473F" w:rsidRDefault="003F28F1" w:rsidP="003F28F1">
      <w:pPr>
        <w:pStyle w:val="CRCoverPage"/>
        <w:spacing w:after="240"/>
        <w:outlineLvl w:val="0"/>
        <w:rPr>
          <w:b/>
          <w:noProof/>
          <w:sz w:val="24"/>
          <w:szCs w:val="24"/>
        </w:rPr>
      </w:pPr>
      <w:r>
        <w:rPr>
          <w:b/>
          <w:noProof/>
          <w:sz w:val="24"/>
          <w:szCs w:val="24"/>
          <w:lang w:eastAsia="ko-KR"/>
        </w:rPr>
        <w:t>Lisbon</w:t>
      </w:r>
      <w:r w:rsidRPr="0059155C">
        <w:rPr>
          <w:b/>
          <w:noProof/>
          <w:sz w:val="24"/>
          <w:szCs w:val="24"/>
          <w:lang w:eastAsia="ko-KR"/>
        </w:rPr>
        <w:t xml:space="preserve">, </w:t>
      </w:r>
      <w:r>
        <w:rPr>
          <w:b/>
          <w:noProof/>
          <w:sz w:val="24"/>
          <w:szCs w:val="24"/>
          <w:lang w:eastAsia="ko-KR"/>
        </w:rPr>
        <w:t>Portugal</w:t>
      </w:r>
      <w:r w:rsidRPr="0059155C">
        <w:rPr>
          <w:b/>
          <w:noProof/>
          <w:sz w:val="24"/>
          <w:szCs w:val="24"/>
          <w:lang w:eastAsia="ko-KR"/>
        </w:rPr>
        <w:t xml:space="preserve">, </w:t>
      </w:r>
      <w:r>
        <w:rPr>
          <w:b/>
          <w:noProof/>
          <w:sz w:val="24"/>
          <w:szCs w:val="24"/>
          <w:lang w:eastAsia="ko-KR"/>
        </w:rPr>
        <w:t>10</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14</w:t>
      </w:r>
      <w:r w:rsidRPr="00254CD7">
        <w:rPr>
          <w:b/>
          <w:noProof/>
          <w:sz w:val="24"/>
          <w:szCs w:val="24"/>
          <w:vertAlign w:val="superscript"/>
          <w:lang w:eastAsia="ko-KR"/>
        </w:rPr>
        <w:t>th</w:t>
      </w:r>
      <w:r>
        <w:rPr>
          <w:b/>
          <w:noProof/>
          <w:sz w:val="24"/>
          <w:szCs w:val="24"/>
          <w:lang w:eastAsia="ko-KR"/>
        </w:rPr>
        <w:t xml:space="preserve"> October 2016</w:t>
      </w:r>
    </w:p>
    <w:p w14:paraId="3696E544" w14:textId="4745F9D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41ADE">
        <w:rPr>
          <w:rFonts w:ascii="Arial" w:hAnsi="Arial"/>
          <w:sz w:val="24"/>
        </w:rPr>
        <w:t>8.1.2.2</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7F705A7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41ADE">
        <w:rPr>
          <w:rFonts w:ascii="Arial" w:hAnsi="Arial"/>
          <w:sz w:val="24"/>
        </w:rPr>
        <w:t>FDM of URLLC and eMBB</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2AA4EDF" w14:textId="183E4C9B" w:rsidR="00831386" w:rsidRDefault="00831386" w:rsidP="00831386">
      <w:pPr>
        <w:pStyle w:val="maintext"/>
        <w:ind w:firstLine="400"/>
      </w:pPr>
      <w:r>
        <w:rPr>
          <w:rFonts w:hint="eastAsia"/>
        </w:rPr>
        <w:t>In RAN1#85, the following agreement</w:t>
      </w:r>
      <w:r>
        <w:t>s</w:t>
      </w:r>
      <w:r>
        <w:rPr>
          <w:rFonts w:hint="eastAsia"/>
        </w:rPr>
        <w:t xml:space="preserve"> were achieved </w:t>
      </w:r>
      <w:r>
        <w:t xml:space="preserve">regarding </w:t>
      </w:r>
      <w:r>
        <w:rPr>
          <w:rFonts w:eastAsia="SimSun" w:hint="eastAsia"/>
          <w:lang w:eastAsia="zh-CN"/>
        </w:rPr>
        <w:t>numerology multiplexing</w:t>
      </w:r>
      <w:r>
        <w:t xml:space="preserve"> for NR</w:t>
      </w:r>
      <w:r>
        <w:rPr>
          <w:rFonts w:hint="eastAsia"/>
        </w:rPr>
        <w:t>;</w:t>
      </w:r>
    </w:p>
    <w:p w14:paraId="1AA08E91" w14:textId="77777777" w:rsidR="00831386" w:rsidRPr="00831386" w:rsidRDefault="00831386" w:rsidP="00831386">
      <w:pPr>
        <w:rPr>
          <w:rFonts w:eastAsia="MS Mincho"/>
          <w:b/>
          <w:u w:val="single"/>
          <w:lang w:eastAsia="ja-JP"/>
        </w:rPr>
      </w:pPr>
      <w:r w:rsidRPr="00831386">
        <w:rPr>
          <w:rFonts w:eastAsia="MS Mincho" w:hint="eastAsia"/>
          <w:b/>
          <w:u w:val="single"/>
          <w:lang w:eastAsia="ja-JP"/>
        </w:rPr>
        <w:t>Agreements:</w:t>
      </w:r>
    </w:p>
    <w:p w14:paraId="1C8A0414" w14:textId="77777777" w:rsidR="00831386" w:rsidRPr="00831386" w:rsidRDefault="00831386" w:rsidP="00831386">
      <w:pPr>
        <w:numPr>
          <w:ilvl w:val="0"/>
          <w:numId w:val="27"/>
        </w:numPr>
        <w:spacing w:after="0"/>
        <w:rPr>
          <w:rFonts w:eastAsia="MS Mincho"/>
          <w:lang w:eastAsia="ja-JP"/>
        </w:rPr>
      </w:pPr>
      <w:r w:rsidRPr="00831386">
        <w:rPr>
          <w:rFonts w:eastAsia="MS Mincho"/>
          <w:lang w:eastAsia="ja-JP"/>
        </w:rPr>
        <w:t>Forward compatibility of NR shall ensure smooth introduction of future services and features with no impact on the access of earlier services and UEs</w:t>
      </w:r>
    </w:p>
    <w:p w14:paraId="75CB3DF7" w14:textId="77777777" w:rsidR="00831386" w:rsidRPr="00831386" w:rsidRDefault="00831386" w:rsidP="00831386">
      <w:pPr>
        <w:numPr>
          <w:ilvl w:val="1"/>
          <w:numId w:val="27"/>
        </w:numPr>
        <w:spacing w:after="0"/>
        <w:rPr>
          <w:rFonts w:eastAsia="MS Mincho"/>
          <w:lang w:eastAsia="ja-JP"/>
        </w:rPr>
      </w:pPr>
      <w:r w:rsidRPr="00831386">
        <w:rPr>
          <w:rFonts w:eastAsia="MS Mincho"/>
          <w:lang w:eastAsia="ja-JP"/>
        </w:rPr>
        <w:t xml:space="preserve">Multiplexing different numerologies within a same </w:t>
      </w:r>
      <w:bookmarkStart w:id="4" w:name="OLE_LINK5"/>
      <w:bookmarkStart w:id="5" w:name="OLE_LINK6"/>
      <w:r w:rsidRPr="00831386">
        <w:rPr>
          <w:rFonts w:eastAsia="MS Mincho"/>
          <w:lang w:eastAsia="ja-JP"/>
        </w:rPr>
        <w:t>NR carrier</w:t>
      </w:r>
      <w:r w:rsidRPr="00831386">
        <w:rPr>
          <w:rFonts w:ascii="Century" w:eastAsia="MS Mincho" w:hAnsi="Calibri"/>
          <w:color w:val="FF0000"/>
          <w:kern w:val="24"/>
          <w:sz w:val="40"/>
          <w:szCs w:val="40"/>
        </w:rPr>
        <w:t xml:space="preserve"> </w:t>
      </w:r>
      <w:r w:rsidRPr="00831386">
        <w:rPr>
          <w:rFonts w:eastAsia="MS Mincho"/>
          <w:lang w:eastAsia="ja-JP"/>
        </w:rPr>
        <w:t>bandwidth</w:t>
      </w:r>
      <w:bookmarkEnd w:id="4"/>
      <w:bookmarkEnd w:id="5"/>
      <w:r w:rsidRPr="00831386">
        <w:rPr>
          <w:rFonts w:eastAsia="MS Mincho"/>
          <w:lang w:eastAsia="ja-JP"/>
        </w:rPr>
        <w:t xml:space="preserve"> (from the network perspective) </w:t>
      </w:r>
      <w:r w:rsidRPr="00831386">
        <w:rPr>
          <w:rFonts w:eastAsia="MS Mincho" w:hint="eastAsia"/>
          <w:lang w:eastAsia="ja-JP"/>
        </w:rPr>
        <w:t>is supported</w:t>
      </w:r>
    </w:p>
    <w:p w14:paraId="1115309C" w14:textId="77777777" w:rsidR="00831386" w:rsidRPr="00831386" w:rsidRDefault="00831386" w:rsidP="00831386">
      <w:pPr>
        <w:numPr>
          <w:ilvl w:val="2"/>
          <w:numId w:val="27"/>
        </w:numPr>
        <w:spacing w:after="0"/>
        <w:rPr>
          <w:rFonts w:eastAsia="MS Mincho"/>
          <w:lang w:eastAsia="ja-JP"/>
        </w:rPr>
      </w:pPr>
      <w:r w:rsidRPr="00831386">
        <w:rPr>
          <w:rFonts w:eastAsia="MS Mincho" w:hint="eastAsia"/>
          <w:lang w:eastAsia="ja-JP"/>
        </w:rPr>
        <w:t>FDM and/or TDM multiplexing can be considered</w:t>
      </w:r>
    </w:p>
    <w:p w14:paraId="74F67828" w14:textId="77777777" w:rsidR="00831386" w:rsidRPr="00831386" w:rsidRDefault="00831386" w:rsidP="00831386">
      <w:pPr>
        <w:rPr>
          <w:rFonts w:eastAsia="MS Mincho"/>
          <w:b/>
          <w:u w:val="single"/>
          <w:lang w:eastAsia="ja-JP"/>
        </w:rPr>
      </w:pPr>
      <w:bookmarkStart w:id="6" w:name="OLE_LINK3"/>
      <w:bookmarkStart w:id="7" w:name="OLE_LINK4"/>
      <w:bookmarkStart w:id="8" w:name="OLE_LINK10"/>
      <w:bookmarkStart w:id="9" w:name="OLE_LINK11"/>
      <w:r w:rsidRPr="00831386">
        <w:rPr>
          <w:rFonts w:eastAsia="MS Mincho" w:hint="eastAsia"/>
          <w:b/>
          <w:u w:val="single"/>
          <w:lang w:eastAsia="ja-JP"/>
        </w:rPr>
        <w:t>Agreements:</w:t>
      </w:r>
    </w:p>
    <w:bookmarkEnd w:id="6"/>
    <w:bookmarkEnd w:id="7"/>
    <w:p w14:paraId="2E6C8C2C" w14:textId="77777777" w:rsidR="00831386" w:rsidRPr="00831386" w:rsidRDefault="00831386" w:rsidP="00831386">
      <w:pPr>
        <w:numPr>
          <w:ilvl w:val="0"/>
          <w:numId w:val="28"/>
        </w:numPr>
        <w:spacing w:after="0"/>
        <w:rPr>
          <w:rFonts w:eastAsia="MS Mincho"/>
          <w:lang w:eastAsia="ja-JP"/>
        </w:rPr>
      </w:pPr>
      <w:r w:rsidRPr="00831386">
        <w:rPr>
          <w:rFonts w:eastAsia="MS Mincho"/>
          <w:lang w:eastAsia="ja-JP"/>
        </w:rPr>
        <w:t>For a NR carrier (from network perspective) using multiple numerologies, at least the following</w:t>
      </w:r>
      <w:r w:rsidRPr="00831386">
        <w:rPr>
          <w:rFonts w:eastAsia="MS Mincho" w:hint="eastAsia"/>
          <w:lang w:eastAsia="ja-JP"/>
        </w:rPr>
        <w:t xml:space="preserve"> is for further study</w:t>
      </w:r>
    </w:p>
    <w:p w14:paraId="154A2E5B" w14:textId="77777777" w:rsidR="00831386" w:rsidRPr="00831386" w:rsidRDefault="00831386" w:rsidP="00831386">
      <w:pPr>
        <w:numPr>
          <w:ilvl w:val="1"/>
          <w:numId w:val="28"/>
        </w:numPr>
        <w:spacing w:after="0"/>
        <w:rPr>
          <w:rFonts w:eastAsia="MS Mincho"/>
          <w:lang w:eastAsia="ja-JP"/>
        </w:rPr>
      </w:pPr>
      <w:bookmarkStart w:id="10" w:name="OLE_LINK9"/>
      <w:r w:rsidRPr="00831386">
        <w:rPr>
          <w:rFonts w:eastAsia="MS Mincho"/>
          <w:lang w:eastAsia="ja-JP"/>
        </w:rPr>
        <w:t>multiple frequency</w:t>
      </w:r>
      <w:r w:rsidRPr="00831386">
        <w:rPr>
          <w:rFonts w:eastAsia="MS Mincho" w:hint="eastAsia"/>
          <w:lang w:eastAsia="ja-JP"/>
        </w:rPr>
        <w:t>/time</w:t>
      </w:r>
      <w:r w:rsidRPr="00831386">
        <w:rPr>
          <w:rFonts w:eastAsia="MS Mincho"/>
          <w:lang w:eastAsia="ja-JP"/>
        </w:rPr>
        <w:t xml:space="preserve"> portions using different numerologies share a synchronization signal</w:t>
      </w:r>
    </w:p>
    <w:bookmarkEnd w:id="10"/>
    <w:p w14:paraId="59E11FA4" w14:textId="77777777" w:rsidR="00831386" w:rsidRPr="00831386" w:rsidRDefault="00831386" w:rsidP="00831386">
      <w:pPr>
        <w:numPr>
          <w:ilvl w:val="2"/>
          <w:numId w:val="28"/>
        </w:numPr>
        <w:spacing w:after="0"/>
        <w:rPr>
          <w:rFonts w:eastAsia="MS Mincho"/>
          <w:lang w:eastAsia="ja-JP"/>
        </w:rPr>
      </w:pPr>
      <w:r w:rsidRPr="00831386">
        <w:rPr>
          <w:rFonts w:eastAsia="MS Mincho"/>
          <w:lang w:eastAsia="ja-JP"/>
        </w:rPr>
        <w:t>Note: The synchronization signal refers to the signal itself and the time-frequency resource used to transmit the synchronization signal</w:t>
      </w:r>
    </w:p>
    <w:bookmarkEnd w:id="8"/>
    <w:bookmarkEnd w:id="9"/>
    <w:p w14:paraId="1A9CC438" w14:textId="77777777" w:rsidR="000E0286" w:rsidRPr="00660E26" w:rsidRDefault="000E0286" w:rsidP="000E0286">
      <w:pPr>
        <w:rPr>
          <w:rFonts w:eastAsia="MS Mincho"/>
          <w:b/>
          <w:u w:val="single"/>
          <w:lang w:eastAsia="ja-JP"/>
        </w:rPr>
      </w:pPr>
      <w:r w:rsidRPr="000E0286">
        <w:rPr>
          <w:rFonts w:eastAsia="MS Mincho" w:hint="eastAsia"/>
          <w:b/>
          <w:u w:val="single"/>
          <w:lang w:eastAsia="ja-JP"/>
        </w:rPr>
        <w:t>Agreements:</w:t>
      </w:r>
    </w:p>
    <w:p w14:paraId="0B20563D" w14:textId="77777777" w:rsidR="000E0286" w:rsidRPr="00DF7AC8" w:rsidRDefault="000E0286" w:rsidP="000E0286">
      <w:pPr>
        <w:numPr>
          <w:ilvl w:val="0"/>
          <w:numId w:val="29"/>
        </w:numPr>
        <w:spacing w:after="0"/>
        <w:rPr>
          <w:rFonts w:eastAsia="MS Mincho"/>
          <w:lang w:val="en-US" w:eastAsia="ja-JP"/>
        </w:rPr>
      </w:pPr>
      <w:r w:rsidRPr="00DF7AC8">
        <w:rPr>
          <w:rFonts w:eastAsia="MS Mincho"/>
          <w:lang w:val="en-US" w:eastAsia="ja-JP"/>
        </w:rPr>
        <w:t xml:space="preserve">A subframe duration is defined by </w:t>
      </w:r>
      <w:r w:rsidRPr="00DF7AC8">
        <w:rPr>
          <w:rFonts w:eastAsia="MS Mincho" w:hint="eastAsia"/>
          <w:lang w:val="en-US" w:eastAsia="ja-JP"/>
        </w:rPr>
        <w:t xml:space="preserve">the duration of </w:t>
      </w:r>
      <w:r w:rsidRPr="00DF7AC8">
        <w:rPr>
          <w:rFonts w:eastAsia="MS Mincho"/>
          <w:i/>
          <w:iCs/>
          <w:lang w:val="en-US" w:eastAsia="ja-JP"/>
        </w:rPr>
        <w:t>x</w:t>
      </w:r>
      <w:r w:rsidRPr="00DF7AC8">
        <w:rPr>
          <w:rFonts w:eastAsia="MS Mincho"/>
          <w:lang w:val="en-US" w:eastAsia="ja-JP"/>
        </w:rPr>
        <w:t xml:space="preserve"> OFDM symbols given </w:t>
      </w:r>
      <w:r w:rsidRPr="00DF7AC8">
        <w:rPr>
          <w:rFonts w:eastAsia="MS Mincho" w:hint="eastAsia"/>
          <w:lang w:val="en-US" w:eastAsia="ja-JP"/>
        </w:rPr>
        <w:t xml:space="preserve">a reference numerology </w:t>
      </w:r>
    </w:p>
    <w:p w14:paraId="7299227C" w14:textId="77777777" w:rsidR="000E0286" w:rsidRPr="00DF7AC8" w:rsidRDefault="000E0286" w:rsidP="000E0286">
      <w:pPr>
        <w:numPr>
          <w:ilvl w:val="1"/>
          <w:numId w:val="29"/>
        </w:numPr>
        <w:spacing w:after="0"/>
        <w:rPr>
          <w:rFonts w:eastAsia="MS Mincho"/>
          <w:lang w:val="en-US" w:eastAsia="ja-JP"/>
        </w:rPr>
      </w:pPr>
      <w:r w:rsidRPr="00DF7AC8">
        <w:rPr>
          <w:rFonts w:eastAsia="MS Mincho" w:hint="eastAsia"/>
          <w:lang w:val="en-US" w:eastAsia="ja-JP"/>
        </w:rPr>
        <w:t xml:space="preserve">With the same CP overhead, a single value of </w:t>
      </w:r>
      <w:r w:rsidRPr="00DF7AC8">
        <w:rPr>
          <w:rFonts w:eastAsia="MS Mincho" w:hint="eastAsia"/>
          <w:i/>
          <w:lang w:val="en-US" w:eastAsia="ja-JP"/>
        </w:rPr>
        <w:t>x</w:t>
      </w:r>
      <w:r w:rsidRPr="00DF7AC8">
        <w:rPr>
          <w:rFonts w:eastAsia="MS Mincho" w:hint="eastAsia"/>
          <w:lang w:val="en-US" w:eastAsia="ja-JP"/>
        </w:rPr>
        <w:t xml:space="preserve"> is specified irrespective of the </w:t>
      </w:r>
      <w:r w:rsidRPr="00DF7AC8">
        <w:rPr>
          <w:rFonts w:eastAsia="MS Mincho"/>
          <w:lang w:val="en-US" w:eastAsia="ja-JP"/>
        </w:rPr>
        <w:t>subcarrier</w:t>
      </w:r>
      <w:r w:rsidRPr="00DF7AC8">
        <w:rPr>
          <w:rFonts w:eastAsia="MS Mincho" w:hint="eastAsia"/>
          <w:lang w:val="en-US" w:eastAsia="ja-JP"/>
        </w:rPr>
        <w:t xml:space="preserve"> spacing value chosen for the reference numerology</w:t>
      </w:r>
    </w:p>
    <w:p w14:paraId="77CCD9B4" w14:textId="77777777" w:rsidR="000E0286" w:rsidRPr="00DF7AC8" w:rsidRDefault="000E0286" w:rsidP="000E0286">
      <w:pPr>
        <w:numPr>
          <w:ilvl w:val="1"/>
          <w:numId w:val="29"/>
        </w:numPr>
        <w:spacing w:after="0"/>
        <w:rPr>
          <w:rFonts w:eastAsia="MS Mincho"/>
          <w:lang w:val="en-US" w:eastAsia="ja-JP"/>
        </w:rPr>
      </w:pPr>
      <w:r w:rsidRPr="00DF7AC8">
        <w:rPr>
          <w:rFonts w:eastAsia="MS Mincho"/>
          <w:lang w:val="en-US" w:eastAsia="ja-JP"/>
        </w:rPr>
        <w:t xml:space="preserve">This does not preclude multiple </w:t>
      </w:r>
      <w:r w:rsidRPr="00DF7AC8">
        <w:rPr>
          <w:rFonts w:eastAsia="MS Mincho" w:hint="eastAsia"/>
          <w:lang w:val="en-US" w:eastAsia="ja-JP"/>
        </w:rPr>
        <w:t xml:space="preserve">data transmission </w:t>
      </w:r>
      <w:r w:rsidRPr="00DF7AC8">
        <w:rPr>
          <w:rFonts w:eastAsia="MS Mincho"/>
          <w:lang w:val="en-US" w:eastAsia="ja-JP"/>
        </w:rPr>
        <w:t xml:space="preserve">opportunities </w:t>
      </w:r>
      <w:r w:rsidRPr="00DF7AC8">
        <w:rPr>
          <w:rFonts w:eastAsia="MS Mincho" w:hint="eastAsia"/>
          <w:lang w:val="en-US" w:eastAsia="ja-JP"/>
        </w:rPr>
        <w:t xml:space="preserve">in time </w:t>
      </w:r>
      <w:r w:rsidRPr="00DF7AC8">
        <w:rPr>
          <w:rFonts w:eastAsia="MS Mincho"/>
          <w:lang w:val="en-US" w:eastAsia="ja-JP"/>
        </w:rPr>
        <w:t>within a subframe duration</w:t>
      </w:r>
    </w:p>
    <w:p w14:paraId="08C8D125" w14:textId="77777777" w:rsidR="000E0286" w:rsidRPr="00DF7AC8" w:rsidRDefault="000E0286" w:rsidP="000E0286">
      <w:pPr>
        <w:numPr>
          <w:ilvl w:val="1"/>
          <w:numId w:val="29"/>
        </w:numPr>
        <w:spacing w:after="0"/>
        <w:rPr>
          <w:rFonts w:eastAsia="MS Mincho"/>
          <w:lang w:val="en-US" w:eastAsia="ja-JP"/>
        </w:rPr>
      </w:pPr>
      <w:r w:rsidRPr="00DF7AC8">
        <w:rPr>
          <w:rFonts w:eastAsia="MS Mincho" w:hint="eastAsia"/>
          <w:lang w:val="en-US" w:eastAsia="ja-JP"/>
        </w:rPr>
        <w:t xml:space="preserve">This does not preclude multiple control transmission </w:t>
      </w:r>
      <w:r w:rsidRPr="00DF7AC8">
        <w:rPr>
          <w:rFonts w:eastAsia="MS Mincho"/>
          <w:lang w:val="en-US" w:eastAsia="ja-JP"/>
        </w:rPr>
        <w:t>opportunities</w:t>
      </w:r>
      <w:r w:rsidRPr="00DF7AC8">
        <w:rPr>
          <w:rFonts w:eastAsia="MS Mincho" w:hint="eastAsia"/>
          <w:lang w:val="en-US" w:eastAsia="ja-JP"/>
        </w:rPr>
        <w:t xml:space="preserve"> in time for both DL and UL within the subframe duration</w:t>
      </w:r>
    </w:p>
    <w:p w14:paraId="1B0C2A92" w14:textId="77777777" w:rsidR="000E0286" w:rsidRPr="00DF7AC8" w:rsidRDefault="000E0286" w:rsidP="000E0286">
      <w:pPr>
        <w:numPr>
          <w:ilvl w:val="1"/>
          <w:numId w:val="29"/>
        </w:numPr>
        <w:spacing w:after="0"/>
        <w:rPr>
          <w:rFonts w:eastAsia="MS Mincho"/>
          <w:lang w:val="en-US" w:eastAsia="ja-JP"/>
        </w:rPr>
      </w:pPr>
      <w:r w:rsidRPr="00DF7AC8">
        <w:rPr>
          <w:rFonts w:eastAsia="MS Mincho"/>
          <w:lang w:val="en-US" w:eastAsia="ja-JP"/>
        </w:rPr>
        <w:t xml:space="preserve">This does not preclude one </w:t>
      </w:r>
      <w:r w:rsidRPr="00DF7AC8">
        <w:rPr>
          <w:rFonts w:eastAsia="MS Mincho" w:hint="eastAsia"/>
          <w:lang w:val="en-US" w:eastAsia="ja-JP"/>
        </w:rPr>
        <w:t>data transmission to span</w:t>
      </w:r>
      <w:r w:rsidRPr="00DF7AC8">
        <w:rPr>
          <w:rFonts w:eastAsia="MS Mincho"/>
          <w:lang w:val="en-US" w:eastAsia="ja-JP"/>
        </w:rPr>
        <w:t xml:space="preserve"> over multiple subframe durations</w:t>
      </w:r>
    </w:p>
    <w:p w14:paraId="3CC9EA5F" w14:textId="77777777" w:rsidR="000E0286" w:rsidRPr="00DF7AC8" w:rsidRDefault="000E0286" w:rsidP="000E0286">
      <w:pPr>
        <w:numPr>
          <w:ilvl w:val="0"/>
          <w:numId w:val="29"/>
        </w:numPr>
        <w:spacing w:after="0"/>
        <w:rPr>
          <w:rFonts w:eastAsia="MS Mincho"/>
          <w:lang w:val="en-US" w:eastAsia="ja-JP"/>
        </w:rPr>
      </w:pPr>
      <w:r w:rsidRPr="00DF7AC8">
        <w:rPr>
          <w:rFonts w:eastAsia="MS Mincho"/>
          <w:lang w:val="en-US" w:eastAsia="ja-JP"/>
        </w:rPr>
        <w:t xml:space="preserve">A UE </w:t>
      </w:r>
      <w:r w:rsidRPr="00DF7AC8">
        <w:rPr>
          <w:rFonts w:eastAsia="MS Mincho" w:hint="eastAsia"/>
          <w:lang w:val="en-US" w:eastAsia="ja-JP"/>
        </w:rPr>
        <w:t>ha</w:t>
      </w:r>
      <w:r w:rsidRPr="00DF7AC8">
        <w:rPr>
          <w:rFonts w:eastAsia="MS Mincho"/>
          <w:lang w:val="en-US" w:eastAsia="ja-JP"/>
        </w:rPr>
        <w:t>s one reference numerology in a given NR carrier which defines subframe duration</w:t>
      </w:r>
      <w:r w:rsidRPr="00DF7AC8">
        <w:rPr>
          <w:rFonts w:eastAsia="MS Mincho" w:hint="eastAsia"/>
          <w:lang w:val="en-US" w:eastAsia="ja-JP"/>
        </w:rPr>
        <w:t xml:space="preserve"> for the given NR carrier</w:t>
      </w:r>
    </w:p>
    <w:p w14:paraId="2931155B" w14:textId="77777777" w:rsidR="000E0286" w:rsidRPr="00DF7AC8" w:rsidRDefault="000E0286" w:rsidP="000E0286">
      <w:pPr>
        <w:numPr>
          <w:ilvl w:val="1"/>
          <w:numId w:val="29"/>
        </w:numPr>
        <w:spacing w:after="0"/>
        <w:rPr>
          <w:rFonts w:eastAsia="MS Mincho"/>
          <w:lang w:val="en-US" w:eastAsia="ja-JP"/>
        </w:rPr>
      </w:pPr>
      <w:r w:rsidRPr="00DF7AC8">
        <w:rPr>
          <w:rFonts w:eastAsia="MS Mincho" w:hint="eastAsia"/>
          <w:lang w:val="en-US" w:eastAsia="ja-JP"/>
        </w:rPr>
        <w:t>FFS: In a given NR carrier, whether different UEs may have different reference numerologies or may not</w:t>
      </w:r>
    </w:p>
    <w:p w14:paraId="5B0D0B8A" w14:textId="77777777" w:rsidR="000E0286" w:rsidRPr="00660E26" w:rsidRDefault="000E0286" w:rsidP="000E0286">
      <w:pPr>
        <w:numPr>
          <w:ilvl w:val="0"/>
          <w:numId w:val="29"/>
        </w:numPr>
        <w:spacing w:after="0"/>
        <w:rPr>
          <w:rFonts w:eastAsia="MS Mincho"/>
          <w:lang w:val="en-US" w:eastAsia="ja-JP"/>
        </w:rPr>
      </w:pPr>
      <w:r w:rsidRPr="00DF7AC8">
        <w:rPr>
          <w:rFonts w:eastAsia="MS Mincho"/>
          <w:lang w:val="en-US" w:eastAsia="ja-JP"/>
        </w:rPr>
        <w:t>Specification supports multiplexing numerologies in TDM and/or FDM within/across (a) subframe duration(s)</w:t>
      </w:r>
      <w:r w:rsidRPr="00DF7AC8">
        <w:rPr>
          <w:rFonts w:eastAsia="MS Mincho" w:hint="eastAsia"/>
          <w:lang w:val="en-US" w:eastAsia="ja-JP"/>
        </w:rPr>
        <w:t xml:space="preserve"> from a UE perspective</w:t>
      </w:r>
    </w:p>
    <w:p w14:paraId="01119564" w14:textId="77777777" w:rsidR="000E0286" w:rsidRPr="000E0286" w:rsidRDefault="000E0286" w:rsidP="00831386">
      <w:pPr>
        <w:pStyle w:val="maintext"/>
        <w:ind w:firstLine="400"/>
        <w:rPr>
          <w:lang w:val="en-US"/>
        </w:rPr>
      </w:pPr>
    </w:p>
    <w:p w14:paraId="6D23038F" w14:textId="36B052C4" w:rsidR="00831386" w:rsidRDefault="00831386" w:rsidP="00831386">
      <w:pPr>
        <w:pStyle w:val="maintext"/>
        <w:ind w:firstLine="400"/>
        <w:rPr>
          <w:rFonts w:eastAsiaTheme="minorEastAsia"/>
        </w:rPr>
      </w:pPr>
      <w:r>
        <w:rPr>
          <w:rFonts w:hint="eastAsia"/>
        </w:rPr>
        <w:t>This contribution</w:t>
      </w:r>
      <w:r>
        <w:rPr>
          <w:rFonts w:eastAsiaTheme="minorEastAsia"/>
        </w:rPr>
        <w:t xml:space="preserve"> discuss</w:t>
      </w:r>
      <w:r>
        <w:rPr>
          <w:rFonts w:hint="eastAsia"/>
        </w:rPr>
        <w:t>es</w:t>
      </w:r>
      <w:r>
        <w:rPr>
          <w:rFonts w:eastAsiaTheme="minorEastAsia"/>
        </w:rPr>
        <w:t xml:space="preserve"> </w:t>
      </w:r>
      <w:r>
        <w:rPr>
          <w:rFonts w:hint="eastAsia"/>
        </w:rPr>
        <w:t xml:space="preserve">aspects </w:t>
      </w:r>
      <w:r>
        <w:t>related to</w:t>
      </w:r>
      <w:r>
        <w:rPr>
          <w:rFonts w:hint="eastAsia"/>
        </w:rPr>
        <w:t xml:space="preserve"> </w:t>
      </w:r>
      <w:r>
        <w:t xml:space="preserve">multiplexing different numerologies in FDM manner for supporting FDM multiplexing of URLLC and eMBB. </w:t>
      </w:r>
    </w:p>
    <w:p w14:paraId="26D5869C" w14:textId="1E8091EA" w:rsidR="00FF4B5C" w:rsidRDefault="00FF4B5C" w:rsidP="00761FE8">
      <w:pPr>
        <w:pStyle w:val="maintext"/>
        <w:ind w:firstLine="400"/>
      </w:pPr>
    </w:p>
    <w:p w14:paraId="7471C546" w14:textId="71C486F3" w:rsidR="00831386" w:rsidRDefault="00831386" w:rsidP="00CF63C4">
      <w:pPr>
        <w:pStyle w:val="Heading1"/>
        <w:tabs>
          <w:tab w:val="num" w:pos="0"/>
        </w:tabs>
        <w:ind w:left="799" w:hanging="799"/>
      </w:pPr>
      <w:r>
        <w:t>FDM of Multiple Numerologies in a Same NR Carrier</w:t>
      </w:r>
    </w:p>
    <w:p w14:paraId="2EB9C724" w14:textId="6B1586F1" w:rsidR="00831386" w:rsidRDefault="00831386" w:rsidP="00831386">
      <w:pPr>
        <w:pStyle w:val="maintext"/>
        <w:ind w:firstLine="400"/>
      </w:pPr>
      <w:r>
        <w:t xml:space="preserve">As discussed in our companion contribution [1], UE may or may not be able to receive multiple numerology subbands in a same NR carrier depending on the UE capability. </w:t>
      </w:r>
      <w:r w:rsidR="00CB19BF">
        <w:t xml:space="preserve">The companion contribution [1] outlines two different FDM methods – either CA based or FDM within an NR carrier in high-level. </w:t>
      </w:r>
      <w:r>
        <w:t>This contribution focuses on the potential enhancements related to those UEs who can receive multiple numerology subbands</w:t>
      </w:r>
      <w:r w:rsidR="00CB19BF">
        <w:t xml:space="preserve"> in a same NR carrier</w:t>
      </w:r>
      <w:r>
        <w:t xml:space="preserve">. </w:t>
      </w:r>
    </w:p>
    <w:p w14:paraId="26FB7A0A" w14:textId="01D69CB4" w:rsidR="00831386" w:rsidRDefault="00831386" w:rsidP="00831386">
      <w:pPr>
        <w:pStyle w:val="maintext"/>
        <w:ind w:firstLine="400"/>
      </w:pPr>
      <w:r>
        <w:t xml:space="preserve">For an NR carrier, a UE is configured to utilize a certain numerology for receiving </w:t>
      </w:r>
      <w:r w:rsidRPr="00831386">
        <w:t>essential SI, physical channels for random access, paging</w:t>
      </w:r>
      <w:r>
        <w:t xml:space="preserve">. When these signals are repeated in time, the time-frequency resources for these signal reception will also be repeated in time. The numerology used for these signal reception may be called as a </w:t>
      </w:r>
      <w:r w:rsidRPr="000A415E">
        <w:rPr>
          <w:b/>
          <w:i/>
        </w:rPr>
        <w:t>reference</w:t>
      </w:r>
      <w:r w:rsidRPr="00831386">
        <w:rPr>
          <w:i/>
        </w:rPr>
        <w:t xml:space="preserve"> </w:t>
      </w:r>
      <w:r w:rsidRPr="00831386">
        <w:rPr>
          <w:i/>
        </w:rPr>
        <w:lastRenderedPageBreak/>
        <w:t>numerology</w:t>
      </w:r>
      <w:r>
        <w:t xml:space="preserve">, and the corresponding slots/subframes may be called an </w:t>
      </w:r>
      <w:r w:rsidRPr="000A415E">
        <w:rPr>
          <w:b/>
          <w:i/>
        </w:rPr>
        <w:t>anchor</w:t>
      </w:r>
      <w:r>
        <w:t xml:space="preserve"> slots/subframe</w:t>
      </w:r>
      <w:r w:rsidR="00172720">
        <w:t>s</w:t>
      </w:r>
      <w:r>
        <w:t xml:space="preserve">. </w:t>
      </w:r>
      <w:r w:rsidR="0027124C">
        <w:t xml:space="preserve">When the gNB supports multiple numerologies that are different from the reference numerology, the network can configure these numerologies either in a UE-specific or a cell-specific manner. When different numerologies are mainly used for supporting different verticals, e.g., wider subcarrier spacing for URLLC and narrower subcarrier spacing for eMBB, </w:t>
      </w:r>
      <w:r w:rsidR="000E0286">
        <w:t xml:space="preserve">it may make more sense to allow UE-specific configuration of numerology (or numerologies). </w:t>
      </w:r>
      <w:r w:rsidR="00172720">
        <w:t xml:space="preserve">The control signalling related to this UE-specific numerology configuration can be transmitted in anchor slots/subframes, for which the reference numerology is used. </w:t>
      </w:r>
    </w:p>
    <w:p w14:paraId="21465E1D" w14:textId="32485067" w:rsidR="00172720" w:rsidRDefault="00172720" w:rsidP="00831386">
      <w:pPr>
        <w:pStyle w:val="maintext"/>
        <w:ind w:firstLine="400"/>
      </w:pPr>
      <w:r>
        <w:t>For eMBB and URLLC multiplexing, a preferred option is TDM</w:t>
      </w:r>
      <w:r w:rsidR="0056095F">
        <w:t xml:space="preserve"> as illustrated in Figure 1</w:t>
      </w:r>
      <w:r>
        <w:t xml:space="preserve">, for which URLLC can puncture or can be superimposed on on-going eMBB traffics. For this option, a UE configured with URLLC can receive signals with wide-subcarrier spacing numerology, and a UE configured with eMBB can receive signals with narrow-subcarrier spacing numerology. </w:t>
      </w:r>
      <w:r w:rsidR="0056095F">
        <w:t xml:space="preserve">The TDM approach </w:t>
      </w:r>
      <w:r>
        <w:t xml:space="preserve">is not likely to degrade eMBB throughput much as long as URLLC traffic is light, regardless of the existence of any eMBB protecting mechanism. </w:t>
      </w:r>
    </w:p>
    <w:p w14:paraId="48E31F9D" w14:textId="018D4A37" w:rsidR="0056095F" w:rsidRDefault="0056095F" w:rsidP="00831386">
      <w:pPr>
        <w:pStyle w:val="maintext"/>
        <w:ind w:firstLine="400"/>
      </w:pPr>
      <w:r>
        <w:object w:dxaOrig="10604" w:dyaOrig="3881" w14:anchorId="33390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167.7pt" o:ole="">
            <v:imagedata r:id="rId8" o:title=""/>
          </v:shape>
          <o:OLEObject Type="Embed" ProgID="Visio.Drawing.11" ShapeID="_x0000_i1025" DrawAspect="Content" ObjectID="_1536762721" r:id="rId9"/>
        </w:object>
      </w:r>
    </w:p>
    <w:p w14:paraId="7677EC7F" w14:textId="59FBF73A" w:rsidR="0056095F" w:rsidRDefault="0056095F" w:rsidP="0056095F">
      <w:pPr>
        <w:pStyle w:val="maintext"/>
        <w:ind w:firstLine="400"/>
        <w:jc w:val="center"/>
      </w:pPr>
      <w:r>
        <w:t>Figure 1 TDM multiplexing of URLLC and eMBB</w:t>
      </w:r>
    </w:p>
    <w:p w14:paraId="417F7265" w14:textId="77777777" w:rsidR="0079648D" w:rsidRDefault="0056095F" w:rsidP="00831386">
      <w:pPr>
        <w:pStyle w:val="maintext"/>
        <w:ind w:firstLine="400"/>
      </w:pPr>
      <w:r>
        <w:t xml:space="preserve">However, there are certain potential problems if only TDM is supported for URLLC and eMBB multiplexing in NR. </w:t>
      </w:r>
    </w:p>
    <w:p w14:paraId="2FD12B5A" w14:textId="17E5BB0A" w:rsidR="0079648D" w:rsidRDefault="00434400" w:rsidP="00831386">
      <w:pPr>
        <w:pStyle w:val="maintext"/>
        <w:ind w:firstLine="400"/>
      </w:pPr>
      <w:r>
        <w:t>An</w:t>
      </w:r>
      <w:r w:rsidR="0079648D">
        <w:t xml:space="preserve"> issue is associated with a case where there is moderate to heavy traffic of URLLC</w:t>
      </w:r>
      <w:r w:rsidR="00A22C9F">
        <w:t xml:space="preserve"> in the system</w:t>
      </w:r>
      <w:r w:rsidR="0079648D">
        <w:t xml:space="preserve">. </w:t>
      </w:r>
      <w:r w:rsidR="00A22C9F">
        <w:t>In this case, the puncturing/superposition may happen too frequently on the ongoing eMBB traffics, and eMBB throughput degradation may be severe, even if an eMBB protection mechanism is introduced for this TDM case in NR. One way to resolve this potential problem is to partition the system BW into multiple subbands, where each subband is configured with a specific numerology (e.g., subcarrier spacing)</w:t>
      </w:r>
      <w:r w:rsidR="00AF6EF3">
        <w:t xml:space="preserve">, as illustrated in Figure 2. </w:t>
      </w:r>
      <w:r w:rsidR="00A22C9F">
        <w:t xml:space="preserve">Then, gNB may schedule only eMBB in one subband configured with narrow subcarrier spacing, </w:t>
      </w:r>
      <w:r w:rsidR="00B85088">
        <w:t xml:space="preserve">so that </w:t>
      </w:r>
      <w:r w:rsidR="00A22C9F">
        <w:t>eMBB is fully protected</w:t>
      </w:r>
      <w:r w:rsidR="00B85088">
        <w:t xml:space="preserve"> from occasional puncturing/superposition due to URLLC</w:t>
      </w:r>
      <w:r w:rsidR="00A22C9F">
        <w:t xml:space="preserve">. In addition, the gNB may utilize the TDM mechanism between the URLLC and eMBB within another subband configured with wide subcarrier spacing. </w:t>
      </w:r>
      <w:r w:rsidR="00F7107D">
        <w:t>For this FDM operation</w:t>
      </w:r>
      <w:r w:rsidR="005964B1">
        <w:t xml:space="preserve">, </w:t>
      </w:r>
      <w:r w:rsidR="00A22C9F">
        <w:t xml:space="preserve">it seems necessary </w:t>
      </w:r>
      <w:r w:rsidR="00B9145C">
        <w:t xml:space="preserve">for gNB </w:t>
      </w:r>
      <w:r w:rsidR="00A22C9F">
        <w:t xml:space="preserve">to be able to </w:t>
      </w:r>
      <w:r w:rsidR="000522E2">
        <w:t xml:space="preserve">configure </w:t>
      </w:r>
      <w:r w:rsidR="00A22C9F">
        <w:t xml:space="preserve">the subbands with </w:t>
      </w:r>
      <w:r w:rsidR="00B9145C">
        <w:t>subband-</w:t>
      </w:r>
      <w:r w:rsidR="00A22C9F">
        <w:t>specific numerologies</w:t>
      </w:r>
      <w:r w:rsidR="00B9145C">
        <w:t xml:space="preserve">, whose configuration can be conveyed during the anchor </w:t>
      </w:r>
      <w:r w:rsidR="00C4162E">
        <w:t>slots/subframes</w:t>
      </w:r>
      <w:r w:rsidR="00B9145C">
        <w:t xml:space="preserve">. </w:t>
      </w:r>
      <w:r w:rsidR="000522E2">
        <w:t>The rate of subband changes does not need to be very high, but as it changes PHY signals, UE should be able to quickly figure out the changes. Hence, L1 signaling will be preferred for these configurations to RRC</w:t>
      </w:r>
      <w:r w:rsidR="001B0CD7">
        <w:t xml:space="preserve"> signaling</w:t>
      </w:r>
      <w:r w:rsidR="000522E2">
        <w:t xml:space="preserve">. </w:t>
      </w:r>
      <w:r w:rsidR="00F7107D">
        <w:t>Through the signaling, gNB can flexibly choose/adapt the BWs of the subbands depending on the traffic rates</w:t>
      </w:r>
      <w:r w:rsidR="00E07F95">
        <w:t xml:space="preserve"> of URLLC</w:t>
      </w:r>
      <w:r w:rsidR="00F7107D">
        <w:t>.</w:t>
      </w:r>
    </w:p>
    <w:p w14:paraId="7F7E19D6" w14:textId="220C6B40" w:rsidR="00F73A48" w:rsidRDefault="00F73A48" w:rsidP="00831386">
      <w:pPr>
        <w:pStyle w:val="maintext"/>
        <w:ind w:firstLine="400"/>
      </w:pPr>
      <w:r>
        <w:rPr>
          <w:noProof/>
          <w:lang w:val="en-US"/>
        </w:rPr>
        <w:lastRenderedPageBreak/>
        <mc:AlternateContent>
          <mc:Choice Requires="wpc">
            <w:drawing>
              <wp:inline distT="0" distB="0" distL="0" distR="0" wp14:anchorId="517B33D7" wp14:editId="0CF7DC7D">
                <wp:extent cx="5889625" cy="194755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descr="25%"/>
                        <wps:cNvSpPr>
                          <a:spLocks noChangeArrowheads="1"/>
                        </wps:cNvSpPr>
                        <wps:spPr bwMode="auto">
                          <a:xfrm>
                            <a:off x="314696" y="180000"/>
                            <a:ext cx="764603" cy="1371600"/>
                          </a:xfrm>
                          <a:prstGeom prst="rect">
                            <a:avLst/>
                          </a:prstGeom>
                          <a:solidFill>
                            <a:schemeClr val="bg1"/>
                          </a:solidFill>
                          <a:ln w="25400">
                            <a:solidFill>
                              <a:srgbClr val="000000"/>
                            </a:solidFill>
                            <a:miter lim="800000"/>
                            <a:headEnd/>
                            <a:tailEnd/>
                          </a:ln>
                        </wps:spPr>
                        <wps:txbx>
                          <w:txbxContent>
                            <w:p w14:paraId="50D87AA4" w14:textId="439DFECB" w:rsidR="00F73A48" w:rsidRPr="00F73A48" w:rsidRDefault="00F73A48" w:rsidP="00F73A48">
                              <w:pPr>
                                <w:pStyle w:val="NormalWeb"/>
                                <w:kinsoku w:val="0"/>
                                <w:overflowPunct w:val="0"/>
                                <w:spacing w:before="0" w:beforeAutospacing="0" w:after="0" w:afterAutospacing="0"/>
                                <w:jc w:val="center"/>
                                <w:textAlignment w:val="baseline"/>
                                <w:rPr>
                                  <w:sz w:val="20"/>
                                </w:rPr>
                              </w:pPr>
                              <w:r w:rsidRPr="00F73A48">
                                <w:rPr>
                                  <w:rFonts w:ascii="Calibri" w:eastAsia="Times New Roman" w:hAnsi="Calibri" w:cstheme="minorBidi"/>
                                  <w:color w:val="000000"/>
                                  <w:kern w:val="24"/>
                                  <w:sz w:val="16"/>
                                  <w:szCs w:val="20"/>
                                </w:rPr>
                                <w:t>Anchor (Ref. Numerology)</w:t>
                              </w:r>
                            </w:p>
                          </w:txbxContent>
                        </wps:txbx>
                        <wps:bodyPr vert="horz" wrap="square" lIns="91440" tIns="45720" rIns="91440" bIns="45720" numCol="1" anchor="ctr" anchorCtr="0" compatLnSpc="1">
                          <a:prstTxWarp prst="textNoShape">
                            <a:avLst/>
                          </a:prstTxWarp>
                        </wps:bodyPr>
                      </wps:wsp>
                      <wps:wsp>
                        <wps:cNvPr id="6" name="Rectangle 6" descr="Dashed vertical"/>
                        <wps:cNvSpPr>
                          <a:spLocks noChangeArrowheads="1"/>
                        </wps:cNvSpPr>
                        <wps:spPr bwMode="auto">
                          <a:xfrm>
                            <a:off x="1079433" y="180000"/>
                            <a:ext cx="1914525" cy="685800"/>
                          </a:xfrm>
                          <a:prstGeom prst="rect">
                            <a:avLst/>
                          </a:prstGeom>
                          <a:solidFill>
                            <a:schemeClr val="accent2"/>
                          </a:solidFill>
                          <a:ln w="25400">
                            <a:solidFill>
                              <a:srgbClr val="000000"/>
                            </a:solidFill>
                            <a:miter lim="800000"/>
                            <a:headEnd/>
                            <a:tailEnd/>
                          </a:ln>
                        </wps:spPr>
                        <wps:txbx>
                          <w:txbxContent>
                            <w:p w14:paraId="4CA310FE" w14:textId="335ED56C"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1</w:t>
                              </w:r>
                            </w:p>
                          </w:txbxContent>
                        </wps:txbx>
                        <wps:bodyPr vert="horz" wrap="square" lIns="91440" tIns="45720" rIns="91440" bIns="45720" numCol="1" anchor="ctr" anchorCtr="0" compatLnSpc="1">
                          <a:prstTxWarp prst="textNoShape">
                            <a:avLst/>
                          </a:prstTxWarp>
                        </wps:bodyPr>
                      </wps:wsp>
                      <wps:wsp>
                        <wps:cNvPr id="7" name="Rectangle 7"/>
                        <wps:cNvSpPr>
                          <a:spLocks noChangeArrowheads="1"/>
                        </wps:cNvSpPr>
                        <wps:spPr bwMode="auto">
                          <a:xfrm>
                            <a:off x="1079433" y="865800"/>
                            <a:ext cx="1914525" cy="685800"/>
                          </a:xfrm>
                          <a:prstGeom prst="rect">
                            <a:avLst/>
                          </a:prstGeom>
                          <a:solidFill>
                            <a:srgbClr val="FFFF00"/>
                          </a:solidFill>
                          <a:ln w="25400">
                            <a:solidFill>
                              <a:srgbClr val="000000"/>
                            </a:solidFill>
                            <a:miter lim="800000"/>
                            <a:headEnd/>
                            <a:tailEnd/>
                          </a:ln>
                          <a:extLst/>
                        </wps:spPr>
                        <wps:txbx>
                          <w:txbxContent>
                            <w:p w14:paraId="5B2FC40F" w14:textId="3972E793"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2</w:t>
                              </w:r>
                            </w:p>
                          </w:txbxContent>
                        </wps:txbx>
                        <wps:bodyPr vert="horz" wrap="square" lIns="91440" tIns="45720" rIns="91440" bIns="45720" numCol="1" anchor="ctr" anchorCtr="0" compatLnSpc="1">
                          <a:prstTxWarp prst="textNoShape">
                            <a:avLst/>
                          </a:prstTxWarp>
                        </wps:bodyPr>
                      </wps:wsp>
                      <wps:wsp>
                        <wps:cNvPr id="26" name="Rectangle 26" descr="25%"/>
                        <wps:cNvSpPr>
                          <a:spLocks noChangeArrowheads="1"/>
                        </wps:cNvSpPr>
                        <wps:spPr bwMode="auto">
                          <a:xfrm>
                            <a:off x="2993839" y="179891"/>
                            <a:ext cx="764540" cy="1371600"/>
                          </a:xfrm>
                          <a:prstGeom prst="rect">
                            <a:avLst/>
                          </a:prstGeom>
                          <a:solidFill>
                            <a:schemeClr val="bg1"/>
                          </a:solidFill>
                          <a:ln w="25400">
                            <a:solidFill>
                              <a:srgbClr val="000000"/>
                            </a:solidFill>
                            <a:miter lim="800000"/>
                            <a:headEnd/>
                            <a:tailEnd/>
                          </a:ln>
                        </wps:spPr>
                        <wps:txbx>
                          <w:txbxContent>
                            <w:p w14:paraId="39A4F0AB" w14:textId="77777777"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olor w:val="000000"/>
                                  <w:kern w:val="24"/>
                                  <w:sz w:val="16"/>
                                  <w:szCs w:val="16"/>
                                </w:rPr>
                                <w:t>Anchor (Ref. Numerology)</w:t>
                              </w:r>
                            </w:p>
                          </w:txbxContent>
                        </wps:txbx>
                        <wps:bodyPr vert="horz" wrap="square" lIns="91440" tIns="45720" rIns="91440" bIns="45720" numCol="1" anchor="ctr" anchorCtr="0" compatLnSpc="1">
                          <a:prstTxWarp prst="textNoShape">
                            <a:avLst/>
                          </a:prstTxWarp>
                        </wps:bodyPr>
                      </wps:wsp>
                      <wps:wsp>
                        <wps:cNvPr id="27" name="Rectangle 27" descr="Dashed vertical"/>
                        <wps:cNvSpPr>
                          <a:spLocks noChangeArrowheads="1"/>
                        </wps:cNvSpPr>
                        <wps:spPr bwMode="auto">
                          <a:xfrm>
                            <a:off x="3758379" y="179891"/>
                            <a:ext cx="1913890" cy="685800"/>
                          </a:xfrm>
                          <a:prstGeom prst="rect">
                            <a:avLst/>
                          </a:prstGeom>
                          <a:solidFill>
                            <a:schemeClr val="accent2"/>
                          </a:solidFill>
                          <a:ln w="25400">
                            <a:solidFill>
                              <a:srgbClr val="000000"/>
                            </a:solidFill>
                            <a:miter lim="800000"/>
                            <a:headEnd/>
                            <a:tailEnd/>
                          </a:ln>
                        </wps:spPr>
                        <wps:txbx>
                          <w:txbxContent>
                            <w:p w14:paraId="3B17344E" w14:textId="78988677"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1</w:t>
                              </w:r>
                            </w:p>
                          </w:txbxContent>
                        </wps:txbx>
                        <wps:bodyPr vert="horz" wrap="square" lIns="91440" tIns="45720" rIns="91440" bIns="45720" numCol="1" anchor="ctr" anchorCtr="0" compatLnSpc="1">
                          <a:prstTxWarp prst="textNoShape">
                            <a:avLst/>
                          </a:prstTxWarp>
                        </wps:bodyPr>
                      </wps:wsp>
                      <wps:wsp>
                        <wps:cNvPr id="28" name="Rectangle 28"/>
                        <wps:cNvSpPr>
                          <a:spLocks noChangeArrowheads="1"/>
                        </wps:cNvSpPr>
                        <wps:spPr bwMode="auto">
                          <a:xfrm>
                            <a:off x="3758379" y="865691"/>
                            <a:ext cx="1913890" cy="685800"/>
                          </a:xfrm>
                          <a:prstGeom prst="rect">
                            <a:avLst/>
                          </a:prstGeom>
                          <a:solidFill>
                            <a:srgbClr val="FFFF00"/>
                          </a:solidFill>
                          <a:ln w="25400">
                            <a:solidFill>
                              <a:srgbClr val="000000"/>
                            </a:solidFill>
                            <a:miter lim="800000"/>
                            <a:headEnd/>
                            <a:tailEnd/>
                          </a:ln>
                          <a:extLst/>
                        </wps:spPr>
                        <wps:txbx>
                          <w:txbxContent>
                            <w:p w14:paraId="74DF1E8D" w14:textId="1A053012"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2</w:t>
                              </w:r>
                            </w:p>
                          </w:txbxContent>
                        </wps:txbx>
                        <wps:bodyPr vert="horz" wrap="square" lIns="91440" tIns="45720" rIns="91440" bIns="45720" numCol="1" anchor="ctr" anchorCtr="0" compatLnSpc="1">
                          <a:prstTxWarp prst="textNoShape">
                            <a:avLst/>
                          </a:prstTxWarp>
                        </wps:bodyPr>
                      </wps:wsp>
                      <wps:wsp>
                        <wps:cNvPr id="2" name="Straight Arrow Connector 2"/>
                        <wps:cNvCnPr/>
                        <wps:spPr>
                          <a:xfrm>
                            <a:off x="314688" y="1650668"/>
                            <a:ext cx="5357319"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Text Box 3"/>
                        <wps:cNvSpPr txBox="1"/>
                        <wps:spPr>
                          <a:xfrm>
                            <a:off x="5256670" y="1650671"/>
                            <a:ext cx="415290" cy="2968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EE3F0" w14:textId="28755B2B" w:rsidR="00F73A48" w:rsidRPr="00F73A48" w:rsidRDefault="00F73A48">
                              <w:r w:rsidRPr="00F73A48">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 name="Straight Arrow Connector 30"/>
                        <wps:cNvCnPr/>
                        <wps:spPr>
                          <a:xfrm flipV="1">
                            <a:off x="244921" y="180000"/>
                            <a:ext cx="0" cy="141453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0" y="260159"/>
                            <a:ext cx="333237" cy="605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B591D5" w14:textId="26EA1536" w:rsidR="00AF6EF3" w:rsidRDefault="00AF6EF3">
                              <w:r>
                                <w:t>frequency</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17B33D7" id="Canvas 1" o:spid="_x0000_s1026" editas="canvas" style="width:463.75pt;height:153.35pt;mso-position-horizontal-relative:char;mso-position-vertical-relative:line" coordsize="58896,19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">
                <v:shape id="_x0000_s1027" type="#_x0000_t75" style="position:absolute;width:58896;height:19475;visibility:visible;mso-wrap-style:square">
                  <v:fill o:detectmouseclick="t"/>
                  <v:path o:connecttype="none"/>
                </v:shape>
                <v:rect id="Rectangle 5" o:spid="_x0000_s1028" alt="25%" style="position:absolute;left:3146;top:1800;width:7646;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UDk8MA&#10;AADaAAAADwAAAGRycy9kb3ducmV2LnhtbESPQWsCMRSE74X+h/CEXopmK1bqahQpCL0VtYUen5vn&#10;ZnHzsiTpbvz3jSD0OMzMN8xqk2wrevKhcazgZVKAIK6cbrhW8HXcjd9AhIissXVMCq4UYLN+fFhh&#10;qd3Ae+oPsRYZwqFEBSbGrpQyVIYshonriLN3dt5izNLXUnscMty2cloUc2mx4bxgsKN3Q9Xl8GsV&#10;NNN0vg6nRTKz7fPcH7/7n134VOpplLZLEJFS/A/f2x9awSvcruQb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UDk8MAAADaAAAADwAAAAAAAAAAAAAAAACYAgAAZHJzL2Rv&#10;d25yZXYueG1sUEsFBgAAAAAEAAQA9QAAAIgDAAAAAA==&#10;" fillcolor="white [3212]" strokeweight="2pt">
                  <v:textbox>
                    <w:txbxContent>
                      <w:p w14:paraId="50D87AA4" w14:textId="439DFECB" w:rsidR="00F73A48" w:rsidRPr="00F73A48" w:rsidRDefault="00F73A48" w:rsidP="00F73A48">
                        <w:pPr>
                          <w:pStyle w:val="NormalWeb"/>
                          <w:kinsoku w:val="0"/>
                          <w:overflowPunct w:val="0"/>
                          <w:spacing w:before="0" w:beforeAutospacing="0" w:after="0" w:afterAutospacing="0"/>
                          <w:jc w:val="center"/>
                          <w:textAlignment w:val="baseline"/>
                          <w:rPr>
                            <w:sz w:val="20"/>
                          </w:rPr>
                        </w:pPr>
                        <w:r w:rsidRPr="00F73A48">
                          <w:rPr>
                            <w:rFonts w:ascii="Calibri" w:eastAsia="Times New Roman" w:hAnsi="Calibri" w:cstheme="minorBidi"/>
                            <w:color w:val="000000"/>
                            <w:kern w:val="24"/>
                            <w:sz w:val="16"/>
                            <w:szCs w:val="20"/>
                          </w:rPr>
                          <w:t>Anchor (Ref. Numerology)</w:t>
                        </w:r>
                      </w:p>
                    </w:txbxContent>
                  </v:textbox>
                </v:rect>
                <v:rect id="Rectangle 6" o:spid="_x0000_s1029" alt="Dashed vertical" style="position:absolute;left:10794;top:1800;width:19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ifMIA&#10;AADaAAAADwAAAGRycy9kb3ducmV2LnhtbESP3WoCMRCF7wu+QxihdzVbLxa7NYpU/EeKtg8wJONm&#10;dTNZNqmub28KhV4ezs/HGU87V4srtaHyrOB1kIEg1t5UXCr4/lq8jECEiGyw9kwK7hRgOuk9jbEw&#10;/sYHuh5jKdIIhwIV2BibQsqgLTkMA98QJ+/kW4cxybaUpsVbGne1HGZZLh1WnAgWG/qwpC/HH5e4&#10;9nza7fPt/G03083n8sB6s1op9dzvZu8gInXxP/zXXhsFOfxeST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0yJ8wgAAANoAAAAPAAAAAAAAAAAAAAAAAJgCAABkcnMvZG93&#10;bnJldi54bWxQSwUGAAAAAAQABAD1AAAAhwMAAAAA&#10;" fillcolor="#ed7d31 [3205]" strokeweight="2pt">
                  <v:textbox>
                    <w:txbxContent>
                      <w:p w14:paraId="4CA310FE" w14:textId="335ED56C"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1</w:t>
                        </w:r>
                      </w:p>
                    </w:txbxContent>
                  </v:textbox>
                </v:rect>
                <v:rect id="Rectangle 7" o:spid="_x0000_s1030" style="position:absolute;left:10794;top:8658;width:1914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Ok3sQA&#10;AADaAAAADwAAAGRycy9kb3ducmV2LnhtbESPQWsCMRSE74L/ITzBi9RsFWzZGkWEQqEH6SrF3l43&#10;z822m5dtkmr675uC0OMwM98wy3WynTiTD61jBbfTAgRx7XTLjYLD/vHmHkSIyBo7x6TghwKsV8PB&#10;EkvtLvxC5yo2IkM4lKjAxNiXUobakMUwdT1x9k7OW4xZ+kZqj5cMt52cFcVCWmw5LxjsaWuo/qy+&#10;rYL5W2PIvdvX41eVjs/p43SY+J1S41HaPICIlOJ/+Np+0gru4O9Kvg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TpN7EAAAA2gAAAA8AAAAAAAAAAAAAAAAAmAIAAGRycy9k&#10;b3ducmV2LnhtbFBLBQYAAAAABAAEAPUAAACJAwAAAAA=&#10;" fillcolor="yellow" strokeweight="2pt">
                  <v:textbox>
                    <w:txbxContent>
                      <w:p w14:paraId="5B2FC40F" w14:textId="3972E793"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2</w:t>
                        </w:r>
                      </w:p>
                    </w:txbxContent>
                  </v:textbox>
                </v:rect>
                <v:rect id="Rectangle 26" o:spid="_x0000_s1031" alt="25%" style="position:absolute;left:29938;top:1798;width:7645;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df6cQA&#10;AADbAAAADwAAAGRycy9kb3ducmV2LnhtbESPzWrDMBCE74W+g9hCLiWRa4pJ3SghFAK9heYHetxY&#10;G8vUWhlJtZW3rwqFHoeZ+YZZbZLtxUg+dI4VPC0KEMSN0x23Ck7H3XwJIkRkjb1jUnCjAJv1/d0K&#10;a+0m/qDxEFuRIRxqVGBiHGopQ2PIYli4gTh7V+ctxix9K7XHKcNtL8uiqKTFjvOCwYHeDDVfh2+r&#10;oCvT9TZdXpJ53j5W/ngeP3dhr9TsIW1fQURK8T/8137XCsoKfr/k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nX+nEAAAA2wAAAA8AAAAAAAAAAAAAAAAAmAIAAGRycy9k&#10;b3ducmV2LnhtbFBLBQYAAAAABAAEAPUAAACJAwAAAAA=&#10;" fillcolor="white [3212]" strokeweight="2pt">
                  <v:textbox>
                    <w:txbxContent>
                      <w:p w14:paraId="39A4F0AB" w14:textId="77777777"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olor w:val="000000"/>
                            <w:kern w:val="24"/>
                            <w:sz w:val="16"/>
                            <w:szCs w:val="16"/>
                          </w:rPr>
                          <w:t>Anchor (Ref. Numerology)</w:t>
                        </w:r>
                      </w:p>
                    </w:txbxContent>
                  </v:textbox>
                </v:rect>
                <v:rect id="Rectangle 27" o:spid="_x0000_s1032" alt="Dashed vertical" style="position:absolute;left:37583;top:1798;width:19139;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tjcQA&#10;AADbAAAADwAAAGRycy9kb3ducmV2LnhtbESP3WoCMRCF7wu+QxihdzVbL7RdjSKK1VZKWesDDMm4&#10;2bqZLJuo69s3BaGXh/PzcabzztXiQm2oPCt4HmQgiLU3FZcKDt/rpxcQISIbrD2TghsFmM96D1PM&#10;jb9yQZd9LEUa4ZCjAhtjk0sZtCWHYeAb4uQdfeswJtmW0rR4TeOulsMsG0mHFSeCxYaWlvRpf3aJ&#10;a3+Ou8/Rx+p1t9DN11vB+n2zUeqx3y0mICJ18T98b2+NguEY/r6k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bY3EAAAA2wAAAA8AAAAAAAAAAAAAAAAAmAIAAGRycy9k&#10;b3ducmV2LnhtbFBLBQYAAAAABAAEAPUAAACJAwAAAAA=&#10;" fillcolor="#ed7d31 [3205]" strokeweight="2pt">
                  <v:textbox>
                    <w:txbxContent>
                      <w:p w14:paraId="3B17344E" w14:textId="78988677"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1</w:t>
                        </w:r>
                      </w:p>
                    </w:txbxContent>
                  </v:textbox>
                </v:rect>
                <v:rect id="Rectangle 28" o:spid="_x0000_s1033" style="position:absolute;left:37583;top:8656;width:19139;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x8VsIA&#10;AADbAAAADwAAAGRycy9kb3ducmV2LnhtbERPTWsCMRC9F/wPYYReimZrochqFBEEwUPpVorexs24&#10;Wd1Mtkmq6b9vDoUeH+97vky2EzfyoXWs4HlcgCCunW65UbD/2IymIEJE1tg5JgU/FGC5GDzMsdTu&#10;zu90q2IjcgiHEhWYGPtSylAbshjGrifO3Nl5izFD30jt8Z7DbScnRfEqLbacGwz2tDZUX6tvq+Dl&#10;2BhyJ/t5+KrSYZcu5/2Tf1PqcZhWMxCRUvwX/7m3WsEkj81f8g+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HxWwgAAANsAAAAPAAAAAAAAAAAAAAAAAJgCAABkcnMvZG93&#10;bnJldi54bWxQSwUGAAAAAAQABAD1AAAAhwMAAAAA&#10;" fillcolor="yellow" strokeweight="2pt">
                  <v:textbox>
                    <w:txbxContent>
                      <w:p w14:paraId="74DF1E8D" w14:textId="1A053012" w:rsidR="00F73A48" w:rsidRDefault="00F73A48" w:rsidP="00F73A48">
                        <w:pPr>
                          <w:pStyle w:val="NormalWeb"/>
                          <w:kinsoku w:val="0"/>
                          <w:overflowPunct w:val="0"/>
                          <w:spacing w:before="0" w:beforeAutospacing="0" w:after="0" w:afterAutospacing="0"/>
                          <w:jc w:val="center"/>
                          <w:textAlignment w:val="baseline"/>
                        </w:pPr>
                        <w:r>
                          <w:rPr>
                            <w:rFonts w:ascii="Calibri" w:eastAsia="Times New Roman" w:hAnsi="Calibri" w:cstheme="minorBidi"/>
                            <w:color w:val="000000"/>
                            <w:kern w:val="24"/>
                            <w:sz w:val="22"/>
                            <w:szCs w:val="22"/>
                          </w:rPr>
                          <w:t>Numerology 2</w:t>
                        </w:r>
                      </w:p>
                    </w:txbxContent>
                  </v:textbox>
                </v:rect>
                <v:shapetype id="_x0000_t32" coordsize="21600,21600" o:spt="32" o:oned="t" path="m,l21600,21600e" filled="f">
                  <v:path arrowok="t" fillok="f" o:connecttype="none"/>
                  <o:lock v:ext="edit" shapetype="t"/>
                </v:shapetype>
                <v:shape id="Straight Arrow Connector 2" o:spid="_x0000_s1034" type="#_x0000_t32" style="position:absolute;left:3146;top:16506;width:5357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OX4cAAAADaAAAADwAAAGRycy9kb3ducmV2LnhtbESP3YrCMBSE74V9h3AWvNPUgj90jSKK&#10;IILi3wMcmmNTtjkpTdT69kYQvBxm5htmOm9tJe7U+NKxgkE/AUGcO11yoeByXvcmIHxA1lg5JgVP&#10;8jCf/XSmmGn34CPdT6EQEcI+QwUmhDqT0ueGLPq+q4mjd3WNxRBlU0jd4CPCbSXTJBlJiyXHBYM1&#10;LQ3l/6ebjZTDZFAvduNye03bYJ77IV9WQ6W6v+3iD0SgNnzDn/ZGK0jhfSXeADl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Tl+HAAAAA2gAAAA8AAAAAAAAAAAAAAAAA&#10;oQIAAGRycy9kb3ducmV2LnhtbFBLBQYAAAAABAAEAPkAAACOAwAAAAA=&#10;" strokecolor="black [3213]" strokeweight="1pt">
                  <v:stroke endarrow="block" joinstyle="miter"/>
                </v:shape>
                <v:shapetype id="_x0000_t202" coordsize="21600,21600" o:spt="202" path="m,l,21600r21600,l21600,xe">
                  <v:stroke joinstyle="miter"/>
                  <v:path gradientshapeok="t" o:connecttype="rect"/>
                </v:shapetype>
                <v:shape id="Text Box 3" o:spid="_x0000_s1035" type="#_x0000_t202" style="position:absolute;left:52566;top:16506;width:4153;height:29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MPMQA&#10;AADaAAAADwAAAGRycy9kb3ducmV2LnhtbESP3WoCMRSE7wu+QzhCb4pm24LIahQtKFJaxR/Ey8Pm&#10;uFncnCxJ1PXtm0Khl8PMfMOMp62txY18qBwreO1nIIgLpysuFRz2i94QRIjIGmvHpOBBAaaTztMY&#10;c+3uvKXbLpYiQTjkqMDE2ORShsKQxdB3DXHyzs5bjEn6UmqP9wS3tXzLsoG0WHFaMNjQh6Hisrta&#10;BRfz+bLJlt/z42D18Ov91Z3810mp5247G4GI1Mb/8F97pRW8w++VdAPk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UzDzEAAAA2gAAAA8AAAAAAAAAAAAAAAAAmAIAAGRycy9k&#10;b3ducmV2LnhtbFBLBQYAAAAABAAEAPUAAACJAwAAAAA=&#10;" filled="f" stroked="f" strokeweight=".5pt">
                  <v:textbox>
                    <w:txbxContent>
                      <w:p w14:paraId="17BEE3F0" w14:textId="28755B2B" w:rsidR="00F73A48" w:rsidRPr="00F73A48" w:rsidRDefault="00F73A48">
                        <w:r w:rsidRPr="00F73A48">
                          <w:t>time</w:t>
                        </w:r>
                      </w:p>
                    </w:txbxContent>
                  </v:textbox>
                </v:shape>
                <v:shape id="Straight Arrow Connector 30" o:spid="_x0000_s1036" type="#_x0000_t32" style="position:absolute;left:2449;top:1800;width:0;height:141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qF58QAAADbAAAADwAAAGRycy9kb3ducmV2LnhtbERPW2vCMBR+H/gfwhH2MjRdBZFqFB0M&#10;JpuIFwTfDs2xrWtOSpLVbr9+eRB8/Pjus0VnatGS85VlBa/DBARxbnXFhYLj4X0wAeEDssbaMin4&#10;JQ+Lee9phpm2N95Ruw+FiCHsM1RQhtBkUvq8JIN+aBviyF2sMxgidIXUDm8x3NQyTZKxNFhxbCix&#10;obeS8u/9j1GwHaXjzXr3N3Ev5/N69bk6fbXXVKnnfrecggjUhYf47v7QCkZxffwSf4C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2oXnxAAAANsAAAAPAAAAAAAAAAAA&#10;AAAAAKECAABkcnMvZG93bnJldi54bWxQSwUGAAAAAAQABAD5AAAAkgMAAAAA&#10;" strokecolor="black [3213]" strokeweight="1pt">
                  <v:stroke endarrow="block" joinstyle="miter"/>
                </v:shape>
                <v:shape id="Text Box 4" o:spid="_x0000_s1037" type="#_x0000_t202" style="position:absolute;top:2601;width:3332;height:60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8unMMA&#10;AADaAAAADwAAAGRycy9kb3ducmV2LnhtbESPQWvCQBSE74L/YXlCb7ppKUWjawjaFlu8aOv9mX0m&#10;odm3Ibs1m3/fLQgeh5n5hlllwTTiSp2rLSt4nCUgiAuray4VfH+9TecgnEfW2FgmBQM5yNbj0QpT&#10;bXs+0PXoSxEh7FJUUHnfplK6oiKDbmZb4uhdbGfQR9mVUnfYR7hp5FOSvEiDNceFClvaVFT8HH+N&#10;gvPHvDi5Yc8LzMN72H32r9uhVOphEvIlCE/B38O39k4reIb/K/EG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8unMMAAADaAAAADwAAAAAAAAAAAAAAAACYAgAAZHJzL2Rv&#10;d25yZXYueG1sUEsFBgAAAAAEAAQA9QAAAIgDAAAAAA==&#10;" filled="f" stroked="f" strokeweight=".5pt">
                  <v:textbox style="layout-flow:vertical-ideographic">
                    <w:txbxContent>
                      <w:p w14:paraId="6AB591D5" w14:textId="26EA1536" w:rsidR="00AF6EF3" w:rsidRDefault="00AF6EF3">
                        <w:r>
                          <w:t>frequency</w:t>
                        </w:r>
                      </w:p>
                    </w:txbxContent>
                  </v:textbox>
                </v:shape>
                <w10:anchorlock/>
              </v:group>
            </w:pict>
          </mc:Fallback>
        </mc:AlternateContent>
      </w:r>
    </w:p>
    <w:p w14:paraId="3A021569" w14:textId="0E49C695" w:rsidR="00AF6EF3" w:rsidRDefault="00AF6EF3" w:rsidP="00AF6EF3">
      <w:pPr>
        <w:pStyle w:val="maintext"/>
        <w:ind w:firstLine="400"/>
        <w:jc w:val="center"/>
      </w:pPr>
      <w:r>
        <w:t>Figure 2. FDM multiplexing of two numerologies</w:t>
      </w:r>
    </w:p>
    <w:p w14:paraId="0864D649" w14:textId="2661F99D" w:rsidR="00CF63C4" w:rsidRDefault="00CF63C4" w:rsidP="00CF63C4">
      <w:pPr>
        <w:pStyle w:val="Heading1"/>
        <w:tabs>
          <w:tab w:val="num" w:pos="0"/>
        </w:tabs>
        <w:ind w:left="799" w:hanging="799"/>
      </w:pPr>
      <w:r>
        <w:t>Conclusion</w:t>
      </w:r>
    </w:p>
    <w:p w14:paraId="1A86B764" w14:textId="5590FBE6" w:rsidR="00CF63C4" w:rsidRDefault="004F5F90" w:rsidP="0068071E">
      <w:pPr>
        <w:pStyle w:val="maintext"/>
        <w:ind w:firstLine="400"/>
      </w:pPr>
      <w:r>
        <w:rPr>
          <w:rFonts w:hint="eastAsia"/>
        </w:rPr>
        <w:t>This contribution</w:t>
      </w:r>
      <w:r>
        <w:rPr>
          <w:rFonts w:eastAsiaTheme="minorEastAsia"/>
        </w:rPr>
        <w:t xml:space="preserve"> has reviewed </w:t>
      </w:r>
      <w:r>
        <w:rPr>
          <w:rFonts w:hint="eastAsia"/>
        </w:rPr>
        <w:t xml:space="preserve">aspects </w:t>
      </w:r>
      <w:r>
        <w:t>related to</w:t>
      </w:r>
      <w:r>
        <w:rPr>
          <w:rFonts w:hint="eastAsia"/>
        </w:rPr>
        <w:t xml:space="preserve"> </w:t>
      </w:r>
      <w:r>
        <w:t>multiplexing different numerologies for supporting FDM multiplexing of URLLC and eMBB in a same NR carrier and made the following proposals.</w:t>
      </w:r>
    </w:p>
    <w:p w14:paraId="361C83FE" w14:textId="4E8EC7ED" w:rsidR="004F5F90" w:rsidRPr="004F5F90" w:rsidRDefault="004F5F90" w:rsidP="0068071E">
      <w:pPr>
        <w:pStyle w:val="maintext"/>
        <w:ind w:firstLine="400"/>
        <w:rPr>
          <w:b/>
        </w:rPr>
      </w:pPr>
      <w:r w:rsidRPr="004F5F90">
        <w:rPr>
          <w:b/>
        </w:rPr>
        <w:t>Proposals</w:t>
      </w:r>
      <w:bookmarkStart w:id="11" w:name="_GoBack"/>
      <w:bookmarkEnd w:id="11"/>
    </w:p>
    <w:p w14:paraId="7F929148" w14:textId="6C626B55" w:rsidR="000A415E" w:rsidRPr="00DA28E9" w:rsidRDefault="000A415E" w:rsidP="000A415E">
      <w:pPr>
        <w:pStyle w:val="maintext"/>
        <w:numPr>
          <w:ilvl w:val="0"/>
          <w:numId w:val="28"/>
        </w:numPr>
        <w:ind w:firstLineChars="0"/>
        <w:rPr>
          <w:b/>
        </w:rPr>
      </w:pPr>
      <w:r w:rsidRPr="00DA28E9">
        <w:rPr>
          <w:b/>
        </w:rPr>
        <w:t xml:space="preserve">Time frequency resources </w:t>
      </w:r>
      <w:r w:rsidR="002672C8" w:rsidRPr="00DA28E9">
        <w:rPr>
          <w:b/>
        </w:rPr>
        <w:t xml:space="preserve">(anchor </w:t>
      </w:r>
      <w:r w:rsidR="00DA28E9" w:rsidRPr="00DA28E9">
        <w:rPr>
          <w:b/>
        </w:rPr>
        <w:t>slots/subframes</w:t>
      </w:r>
      <w:r w:rsidR="002672C8" w:rsidRPr="00DA28E9">
        <w:rPr>
          <w:b/>
        </w:rPr>
        <w:t xml:space="preserve">) </w:t>
      </w:r>
      <w:r w:rsidRPr="00DA28E9">
        <w:rPr>
          <w:b/>
        </w:rPr>
        <w:t xml:space="preserve">with a reference numerology recurs periodically. </w:t>
      </w:r>
    </w:p>
    <w:p w14:paraId="51ABF6C9" w14:textId="74D7107F" w:rsidR="000A415E" w:rsidRPr="00DA28E9" w:rsidRDefault="002672C8" w:rsidP="002672C8">
      <w:pPr>
        <w:pStyle w:val="maintext"/>
        <w:numPr>
          <w:ilvl w:val="0"/>
          <w:numId w:val="28"/>
        </w:numPr>
        <w:ind w:firstLineChars="0"/>
        <w:rPr>
          <w:b/>
        </w:rPr>
      </w:pPr>
      <w:r w:rsidRPr="00DA28E9">
        <w:rPr>
          <w:b/>
        </w:rPr>
        <w:t xml:space="preserve">L1 signalling indicates </w:t>
      </w:r>
      <w:r w:rsidR="00DA28E9" w:rsidRPr="00DA28E9">
        <w:rPr>
          <w:b/>
        </w:rPr>
        <w:t>numerology-specific time-frequency resources in non-anchor slots/subframes.</w:t>
      </w:r>
    </w:p>
    <w:p w14:paraId="0A2A2A3F" w14:textId="72AB3273" w:rsidR="004F5F90" w:rsidRDefault="004F5F90" w:rsidP="000A415E">
      <w:pPr>
        <w:pStyle w:val="maintext"/>
        <w:ind w:left="1440" w:firstLineChars="0" w:firstLine="0"/>
      </w:pPr>
    </w:p>
    <w:p w14:paraId="771809C3" w14:textId="77777777" w:rsidR="000F762B" w:rsidRPr="00D04E23" w:rsidRDefault="000F762B" w:rsidP="00EA06BF">
      <w:pPr>
        <w:pStyle w:val="Heading1"/>
        <w:numPr>
          <w:ilvl w:val="0"/>
          <w:numId w:val="0"/>
        </w:numPr>
      </w:pPr>
      <w:r w:rsidRPr="00D04E23">
        <w:rPr>
          <w:rFonts w:hint="eastAsia"/>
        </w:rPr>
        <w:t>Reference</w:t>
      </w:r>
      <w:r>
        <w:rPr>
          <w:rFonts w:hint="eastAsia"/>
        </w:rPr>
        <w:t>s</w:t>
      </w:r>
    </w:p>
    <w:p w14:paraId="52EFAB36" w14:textId="37F7C9CB" w:rsidR="009A31EF" w:rsidRDefault="00831386" w:rsidP="00831386">
      <w:pPr>
        <w:pStyle w:val="2222"/>
        <w:numPr>
          <w:ilvl w:val="0"/>
          <w:numId w:val="5"/>
        </w:numPr>
        <w:spacing w:after="120" w:line="288" w:lineRule="auto"/>
        <w:ind w:firstLineChars="0"/>
        <w:rPr>
          <w:rFonts w:cs="Times New Roman"/>
          <w:lang w:eastAsia="ko-KR"/>
        </w:rPr>
      </w:pPr>
      <w:r>
        <w:rPr>
          <w:rFonts w:cs="Times New Roman"/>
          <w:lang w:eastAsia="ko-KR"/>
        </w:rPr>
        <w:t>R1-169051</w:t>
      </w:r>
      <w:r w:rsidR="00EA06BF">
        <w:rPr>
          <w:rFonts w:cs="Times New Roman"/>
          <w:lang w:eastAsia="ko-KR"/>
        </w:rPr>
        <w:t xml:space="preserve">, </w:t>
      </w:r>
      <w:r w:rsidRPr="00831386">
        <w:rPr>
          <w:rFonts w:cs="Times New Roman"/>
          <w:lang w:eastAsia="ko-KR"/>
        </w:rPr>
        <w:t>Consideration on UE capability to process multiple numerologies</w:t>
      </w:r>
      <w:r>
        <w:rPr>
          <w:rFonts w:cs="Times New Roman"/>
          <w:lang w:eastAsia="ko-KR"/>
        </w:rPr>
        <w:t>, Samsung</w:t>
      </w:r>
    </w:p>
    <w:sectPr w:rsidR="009A31EF"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6336A" w14:textId="77777777" w:rsidR="00FD4DBA" w:rsidRDefault="00FD4DBA">
      <w:r>
        <w:separator/>
      </w:r>
    </w:p>
  </w:endnote>
  <w:endnote w:type="continuationSeparator" w:id="0">
    <w:p w14:paraId="677F97D5" w14:textId="77777777" w:rsidR="00FD4DBA" w:rsidRDefault="00FD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C226B" w14:textId="77777777" w:rsidR="00FD4DBA" w:rsidRDefault="00FD4DBA">
      <w:r>
        <w:separator/>
      </w:r>
    </w:p>
  </w:footnote>
  <w:footnote w:type="continuationSeparator" w:id="0">
    <w:p w14:paraId="4D4F7D23" w14:textId="77777777" w:rsidR="00FD4DBA" w:rsidRDefault="00FD4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3"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A667EB"/>
    <w:multiLevelType w:val="hybridMultilevel"/>
    <w:tmpl w:val="9E42C92C"/>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1DEE7474">
      <w:start w:val="2"/>
      <w:numFmt w:val="bullet"/>
      <w:lvlText w:val=""/>
      <w:lvlJc w:val="left"/>
      <w:pPr>
        <w:ind w:left="2880" w:hanging="360"/>
      </w:pPr>
      <w:rPr>
        <w:rFonts w:ascii="Symbol" w:eastAsia="Malgun Gothic" w:hAnsi="Symbol" w:cs="Batang"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3"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1"/>
  </w:num>
  <w:num w:numId="3">
    <w:abstractNumId w:val="17"/>
  </w:num>
  <w:num w:numId="4">
    <w:abstractNumId w:val="24"/>
  </w:num>
  <w:num w:numId="5">
    <w:abstractNumId w:val="2"/>
  </w:num>
  <w:num w:numId="6">
    <w:abstractNumId w:val="20"/>
  </w:num>
  <w:num w:numId="7">
    <w:abstractNumId w:val="13"/>
  </w:num>
  <w:num w:numId="8">
    <w:abstractNumId w:val="10"/>
  </w:num>
  <w:num w:numId="9">
    <w:abstractNumId w:val="3"/>
  </w:num>
  <w:num w:numId="10">
    <w:abstractNumId w:val="7"/>
  </w:num>
  <w:num w:numId="11">
    <w:abstractNumId w:val="4"/>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2"/>
  </w:num>
  <w:num w:numId="16">
    <w:abstractNumId w:val="9"/>
  </w:num>
  <w:num w:numId="17">
    <w:abstractNumId w:val="25"/>
  </w:num>
  <w:num w:numId="18">
    <w:abstractNumId w:val="15"/>
  </w:num>
  <w:num w:numId="19">
    <w:abstractNumId w:val="19"/>
  </w:num>
  <w:num w:numId="20">
    <w:abstractNumId w:val="1"/>
  </w:num>
  <w:num w:numId="21">
    <w:abstractNumId w:val="18"/>
  </w:num>
  <w:num w:numId="22">
    <w:abstractNumId w:val="23"/>
  </w:num>
  <w:num w:numId="23">
    <w:abstractNumId w:val="12"/>
  </w:num>
  <w:num w:numId="24">
    <w:abstractNumId w:val="6"/>
  </w:num>
  <w:num w:numId="25">
    <w:abstractNumId w:val="21"/>
  </w:num>
  <w:num w:numId="26">
    <w:abstractNumId w:val="11"/>
  </w:num>
  <w:num w:numId="27">
    <w:abstractNumId w:val="0"/>
  </w:num>
  <w:num w:numId="28">
    <w:abstractNumId w:val="16"/>
  </w:num>
  <w:num w:numId="2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43"/>
    <w:rsid w:val="00000B47"/>
    <w:rsid w:val="00001C76"/>
    <w:rsid w:val="000020C0"/>
    <w:rsid w:val="00002A92"/>
    <w:rsid w:val="00002ACA"/>
    <w:rsid w:val="000033A8"/>
    <w:rsid w:val="00004076"/>
    <w:rsid w:val="00005774"/>
    <w:rsid w:val="00010921"/>
    <w:rsid w:val="00011005"/>
    <w:rsid w:val="00011A53"/>
    <w:rsid w:val="00011FB1"/>
    <w:rsid w:val="00012357"/>
    <w:rsid w:val="00012396"/>
    <w:rsid w:val="00012D3C"/>
    <w:rsid w:val="0001401B"/>
    <w:rsid w:val="000147F7"/>
    <w:rsid w:val="000167DF"/>
    <w:rsid w:val="0001695D"/>
    <w:rsid w:val="000172F4"/>
    <w:rsid w:val="000210FF"/>
    <w:rsid w:val="00021CA4"/>
    <w:rsid w:val="00022194"/>
    <w:rsid w:val="00022677"/>
    <w:rsid w:val="00022C4C"/>
    <w:rsid w:val="00027F1C"/>
    <w:rsid w:val="00030EA8"/>
    <w:rsid w:val="00032854"/>
    <w:rsid w:val="000375ED"/>
    <w:rsid w:val="0004152C"/>
    <w:rsid w:val="00044587"/>
    <w:rsid w:val="00045082"/>
    <w:rsid w:val="00046AB8"/>
    <w:rsid w:val="00046EDE"/>
    <w:rsid w:val="0005019A"/>
    <w:rsid w:val="00050F55"/>
    <w:rsid w:val="000516A7"/>
    <w:rsid w:val="00051AFF"/>
    <w:rsid w:val="000522E2"/>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15E"/>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0286"/>
    <w:rsid w:val="000E13E9"/>
    <w:rsid w:val="000E2201"/>
    <w:rsid w:val="000E364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EB4"/>
    <w:rsid w:val="001155B8"/>
    <w:rsid w:val="00117010"/>
    <w:rsid w:val="001179CE"/>
    <w:rsid w:val="00117B15"/>
    <w:rsid w:val="00120B93"/>
    <w:rsid w:val="00121508"/>
    <w:rsid w:val="0012156A"/>
    <w:rsid w:val="00121809"/>
    <w:rsid w:val="00121AC2"/>
    <w:rsid w:val="0012303A"/>
    <w:rsid w:val="00123B51"/>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6DE6"/>
    <w:rsid w:val="001471E4"/>
    <w:rsid w:val="00147305"/>
    <w:rsid w:val="001503B7"/>
    <w:rsid w:val="0015445A"/>
    <w:rsid w:val="00157248"/>
    <w:rsid w:val="00157C78"/>
    <w:rsid w:val="00161F04"/>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2720"/>
    <w:rsid w:val="001752DA"/>
    <w:rsid w:val="00176B67"/>
    <w:rsid w:val="001801D3"/>
    <w:rsid w:val="00180AD4"/>
    <w:rsid w:val="00180CCA"/>
    <w:rsid w:val="00181899"/>
    <w:rsid w:val="00182E06"/>
    <w:rsid w:val="00184848"/>
    <w:rsid w:val="001850D6"/>
    <w:rsid w:val="00187E4C"/>
    <w:rsid w:val="001911AC"/>
    <w:rsid w:val="0019161B"/>
    <w:rsid w:val="0019499E"/>
    <w:rsid w:val="00196998"/>
    <w:rsid w:val="00197BA4"/>
    <w:rsid w:val="001A2884"/>
    <w:rsid w:val="001A3681"/>
    <w:rsid w:val="001A3AFD"/>
    <w:rsid w:val="001A3EC6"/>
    <w:rsid w:val="001A53DF"/>
    <w:rsid w:val="001A56C7"/>
    <w:rsid w:val="001B010D"/>
    <w:rsid w:val="001B0CD7"/>
    <w:rsid w:val="001B15C2"/>
    <w:rsid w:val="001B1FAD"/>
    <w:rsid w:val="001B2F6F"/>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10B"/>
    <w:rsid w:val="0026470F"/>
    <w:rsid w:val="00264DBB"/>
    <w:rsid w:val="00264DBF"/>
    <w:rsid w:val="00266890"/>
    <w:rsid w:val="00266901"/>
    <w:rsid w:val="00266A3B"/>
    <w:rsid w:val="002672C8"/>
    <w:rsid w:val="002679C3"/>
    <w:rsid w:val="0027050B"/>
    <w:rsid w:val="0027124C"/>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DAA"/>
    <w:rsid w:val="003E00B7"/>
    <w:rsid w:val="003E079D"/>
    <w:rsid w:val="003E0FEE"/>
    <w:rsid w:val="003E1753"/>
    <w:rsid w:val="003E2779"/>
    <w:rsid w:val="003E430F"/>
    <w:rsid w:val="003E633B"/>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4400"/>
    <w:rsid w:val="004351C1"/>
    <w:rsid w:val="00436AEE"/>
    <w:rsid w:val="00437386"/>
    <w:rsid w:val="00440E60"/>
    <w:rsid w:val="00441151"/>
    <w:rsid w:val="00442C0D"/>
    <w:rsid w:val="004430A5"/>
    <w:rsid w:val="00443538"/>
    <w:rsid w:val="004471CE"/>
    <w:rsid w:val="00450C48"/>
    <w:rsid w:val="00452E54"/>
    <w:rsid w:val="004530DE"/>
    <w:rsid w:val="0045322C"/>
    <w:rsid w:val="004535E6"/>
    <w:rsid w:val="00454D22"/>
    <w:rsid w:val="00455E7A"/>
    <w:rsid w:val="00461C28"/>
    <w:rsid w:val="00461D06"/>
    <w:rsid w:val="004624A3"/>
    <w:rsid w:val="0046666D"/>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76D"/>
    <w:rsid w:val="004F5F90"/>
    <w:rsid w:val="00500716"/>
    <w:rsid w:val="00501E42"/>
    <w:rsid w:val="00502C00"/>
    <w:rsid w:val="00503979"/>
    <w:rsid w:val="00503993"/>
    <w:rsid w:val="00503F9D"/>
    <w:rsid w:val="00507091"/>
    <w:rsid w:val="005074C4"/>
    <w:rsid w:val="005079CC"/>
    <w:rsid w:val="005109A0"/>
    <w:rsid w:val="0051414A"/>
    <w:rsid w:val="00514BD4"/>
    <w:rsid w:val="00514BFF"/>
    <w:rsid w:val="00514ED9"/>
    <w:rsid w:val="00515B5F"/>
    <w:rsid w:val="00515DAE"/>
    <w:rsid w:val="0051746B"/>
    <w:rsid w:val="00520036"/>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095F"/>
    <w:rsid w:val="00565284"/>
    <w:rsid w:val="00565332"/>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64B1"/>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29CE"/>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648D"/>
    <w:rsid w:val="0079723B"/>
    <w:rsid w:val="007973AE"/>
    <w:rsid w:val="00797420"/>
    <w:rsid w:val="00797B10"/>
    <w:rsid w:val="00797B55"/>
    <w:rsid w:val="007A0069"/>
    <w:rsid w:val="007A1AD8"/>
    <w:rsid w:val="007A1E51"/>
    <w:rsid w:val="007A339A"/>
    <w:rsid w:val="007A3DB5"/>
    <w:rsid w:val="007A5422"/>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76FC"/>
    <w:rsid w:val="008202F7"/>
    <w:rsid w:val="0082202D"/>
    <w:rsid w:val="00822B88"/>
    <w:rsid w:val="00822F8F"/>
    <w:rsid w:val="00824242"/>
    <w:rsid w:val="0082540F"/>
    <w:rsid w:val="00825973"/>
    <w:rsid w:val="008266A5"/>
    <w:rsid w:val="008272E0"/>
    <w:rsid w:val="00830131"/>
    <w:rsid w:val="00830BDE"/>
    <w:rsid w:val="00831200"/>
    <w:rsid w:val="0083138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328E"/>
    <w:rsid w:val="00933BB5"/>
    <w:rsid w:val="0093725F"/>
    <w:rsid w:val="0093799E"/>
    <w:rsid w:val="00937E33"/>
    <w:rsid w:val="009416F5"/>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A90"/>
    <w:rsid w:val="00A16523"/>
    <w:rsid w:val="00A17773"/>
    <w:rsid w:val="00A20344"/>
    <w:rsid w:val="00A207CA"/>
    <w:rsid w:val="00A20826"/>
    <w:rsid w:val="00A21216"/>
    <w:rsid w:val="00A22C9F"/>
    <w:rsid w:val="00A232AC"/>
    <w:rsid w:val="00A252F2"/>
    <w:rsid w:val="00A26BD0"/>
    <w:rsid w:val="00A2781F"/>
    <w:rsid w:val="00A30EB8"/>
    <w:rsid w:val="00A31043"/>
    <w:rsid w:val="00A31E66"/>
    <w:rsid w:val="00A328DA"/>
    <w:rsid w:val="00A32A15"/>
    <w:rsid w:val="00A33E4A"/>
    <w:rsid w:val="00A34A09"/>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7A6B"/>
    <w:rsid w:val="00AE7D0F"/>
    <w:rsid w:val="00AF05EB"/>
    <w:rsid w:val="00AF0E2B"/>
    <w:rsid w:val="00AF1310"/>
    <w:rsid w:val="00AF1F04"/>
    <w:rsid w:val="00AF2134"/>
    <w:rsid w:val="00AF337A"/>
    <w:rsid w:val="00AF3E30"/>
    <w:rsid w:val="00AF5631"/>
    <w:rsid w:val="00AF6EF3"/>
    <w:rsid w:val="00AF744F"/>
    <w:rsid w:val="00AF75BE"/>
    <w:rsid w:val="00AF78AE"/>
    <w:rsid w:val="00B009C4"/>
    <w:rsid w:val="00B00C96"/>
    <w:rsid w:val="00B01DB5"/>
    <w:rsid w:val="00B04415"/>
    <w:rsid w:val="00B058D3"/>
    <w:rsid w:val="00B10EBC"/>
    <w:rsid w:val="00B12C3B"/>
    <w:rsid w:val="00B12CB3"/>
    <w:rsid w:val="00B12EF7"/>
    <w:rsid w:val="00B14D91"/>
    <w:rsid w:val="00B17653"/>
    <w:rsid w:val="00B202C2"/>
    <w:rsid w:val="00B202F1"/>
    <w:rsid w:val="00B205A5"/>
    <w:rsid w:val="00B2075D"/>
    <w:rsid w:val="00B20767"/>
    <w:rsid w:val="00B2265E"/>
    <w:rsid w:val="00B26342"/>
    <w:rsid w:val="00B2681C"/>
    <w:rsid w:val="00B26C0F"/>
    <w:rsid w:val="00B3087A"/>
    <w:rsid w:val="00B31A8E"/>
    <w:rsid w:val="00B325F5"/>
    <w:rsid w:val="00B32D75"/>
    <w:rsid w:val="00B3361F"/>
    <w:rsid w:val="00B339CD"/>
    <w:rsid w:val="00B342AC"/>
    <w:rsid w:val="00B410F3"/>
    <w:rsid w:val="00B42710"/>
    <w:rsid w:val="00B4397A"/>
    <w:rsid w:val="00B4684A"/>
    <w:rsid w:val="00B51895"/>
    <w:rsid w:val="00B53B8E"/>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1F3D"/>
    <w:rsid w:val="00B73C8D"/>
    <w:rsid w:val="00B7411D"/>
    <w:rsid w:val="00B7692A"/>
    <w:rsid w:val="00B7737D"/>
    <w:rsid w:val="00B774A4"/>
    <w:rsid w:val="00B80FAF"/>
    <w:rsid w:val="00B836ED"/>
    <w:rsid w:val="00B848C9"/>
    <w:rsid w:val="00B85088"/>
    <w:rsid w:val="00B85D36"/>
    <w:rsid w:val="00B9145C"/>
    <w:rsid w:val="00B92A02"/>
    <w:rsid w:val="00B93E09"/>
    <w:rsid w:val="00B93EE0"/>
    <w:rsid w:val="00B96BFE"/>
    <w:rsid w:val="00BA0940"/>
    <w:rsid w:val="00BA267A"/>
    <w:rsid w:val="00BA3A0E"/>
    <w:rsid w:val="00BA3D0B"/>
    <w:rsid w:val="00BA5A0C"/>
    <w:rsid w:val="00BB010E"/>
    <w:rsid w:val="00BB0244"/>
    <w:rsid w:val="00BB308A"/>
    <w:rsid w:val="00BB3744"/>
    <w:rsid w:val="00BB3C1A"/>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162E"/>
    <w:rsid w:val="00C41ADE"/>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022"/>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19BF"/>
    <w:rsid w:val="00CB1F70"/>
    <w:rsid w:val="00CB25C5"/>
    <w:rsid w:val="00CB2C08"/>
    <w:rsid w:val="00CB3FA8"/>
    <w:rsid w:val="00CB414B"/>
    <w:rsid w:val="00CB7374"/>
    <w:rsid w:val="00CB77C7"/>
    <w:rsid w:val="00CB79AA"/>
    <w:rsid w:val="00CB7DB8"/>
    <w:rsid w:val="00CC109A"/>
    <w:rsid w:val="00CC27A1"/>
    <w:rsid w:val="00CC29CE"/>
    <w:rsid w:val="00CC2EC6"/>
    <w:rsid w:val="00CC423C"/>
    <w:rsid w:val="00CC440C"/>
    <w:rsid w:val="00CC48B9"/>
    <w:rsid w:val="00CC4D1A"/>
    <w:rsid w:val="00CC5DFD"/>
    <w:rsid w:val="00CC6844"/>
    <w:rsid w:val="00CC7C8D"/>
    <w:rsid w:val="00CC7E95"/>
    <w:rsid w:val="00CD13E5"/>
    <w:rsid w:val="00CD1BD3"/>
    <w:rsid w:val="00CD3320"/>
    <w:rsid w:val="00CD3DB2"/>
    <w:rsid w:val="00CD4094"/>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244A"/>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763"/>
    <w:rsid w:val="00D93BE3"/>
    <w:rsid w:val="00D94390"/>
    <w:rsid w:val="00D9542E"/>
    <w:rsid w:val="00D957EA"/>
    <w:rsid w:val="00D958E3"/>
    <w:rsid w:val="00DA19A1"/>
    <w:rsid w:val="00DA28E9"/>
    <w:rsid w:val="00DA711A"/>
    <w:rsid w:val="00DB11AA"/>
    <w:rsid w:val="00DB14D9"/>
    <w:rsid w:val="00DB20BE"/>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5929"/>
    <w:rsid w:val="00DE714A"/>
    <w:rsid w:val="00DF27CE"/>
    <w:rsid w:val="00DF2CB8"/>
    <w:rsid w:val="00DF3A66"/>
    <w:rsid w:val="00DF3E32"/>
    <w:rsid w:val="00DF73AC"/>
    <w:rsid w:val="00DF7613"/>
    <w:rsid w:val="00E007C7"/>
    <w:rsid w:val="00E009AC"/>
    <w:rsid w:val="00E02C79"/>
    <w:rsid w:val="00E052E0"/>
    <w:rsid w:val="00E063DF"/>
    <w:rsid w:val="00E07F95"/>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E5591"/>
    <w:rsid w:val="00EF0DBD"/>
    <w:rsid w:val="00EF12AC"/>
    <w:rsid w:val="00EF21E2"/>
    <w:rsid w:val="00EF2C8E"/>
    <w:rsid w:val="00EF2D06"/>
    <w:rsid w:val="00EF2E76"/>
    <w:rsid w:val="00EF5393"/>
    <w:rsid w:val="00EF5990"/>
    <w:rsid w:val="00EF692D"/>
    <w:rsid w:val="00EF6A09"/>
    <w:rsid w:val="00EF72A1"/>
    <w:rsid w:val="00EF738B"/>
    <w:rsid w:val="00F01548"/>
    <w:rsid w:val="00F01774"/>
    <w:rsid w:val="00F01D83"/>
    <w:rsid w:val="00F01FD0"/>
    <w:rsid w:val="00F02E1C"/>
    <w:rsid w:val="00F0387E"/>
    <w:rsid w:val="00F03B43"/>
    <w:rsid w:val="00F040F9"/>
    <w:rsid w:val="00F061C9"/>
    <w:rsid w:val="00F06541"/>
    <w:rsid w:val="00F070D6"/>
    <w:rsid w:val="00F07F4E"/>
    <w:rsid w:val="00F11730"/>
    <w:rsid w:val="00F133E1"/>
    <w:rsid w:val="00F1444B"/>
    <w:rsid w:val="00F15D19"/>
    <w:rsid w:val="00F16046"/>
    <w:rsid w:val="00F173FD"/>
    <w:rsid w:val="00F20368"/>
    <w:rsid w:val="00F2058B"/>
    <w:rsid w:val="00F20DB4"/>
    <w:rsid w:val="00F212BA"/>
    <w:rsid w:val="00F22284"/>
    <w:rsid w:val="00F229F9"/>
    <w:rsid w:val="00F2372B"/>
    <w:rsid w:val="00F2776C"/>
    <w:rsid w:val="00F27C7B"/>
    <w:rsid w:val="00F30800"/>
    <w:rsid w:val="00F30825"/>
    <w:rsid w:val="00F30B86"/>
    <w:rsid w:val="00F30E59"/>
    <w:rsid w:val="00F3162C"/>
    <w:rsid w:val="00F32027"/>
    <w:rsid w:val="00F32A82"/>
    <w:rsid w:val="00F32FFD"/>
    <w:rsid w:val="00F34BD1"/>
    <w:rsid w:val="00F3545D"/>
    <w:rsid w:val="00F3659C"/>
    <w:rsid w:val="00F370D1"/>
    <w:rsid w:val="00F37941"/>
    <w:rsid w:val="00F418C6"/>
    <w:rsid w:val="00F432E5"/>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B0A"/>
    <w:rsid w:val="00F63DC4"/>
    <w:rsid w:val="00F63E12"/>
    <w:rsid w:val="00F6537B"/>
    <w:rsid w:val="00F66D2F"/>
    <w:rsid w:val="00F67D5B"/>
    <w:rsid w:val="00F70310"/>
    <w:rsid w:val="00F7107D"/>
    <w:rsid w:val="00F71912"/>
    <w:rsid w:val="00F735BB"/>
    <w:rsid w:val="00F73A48"/>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5692"/>
    <w:rsid w:val="00FA7364"/>
    <w:rsid w:val="00FA7C6D"/>
    <w:rsid w:val="00FB03EA"/>
    <w:rsid w:val="00FB1962"/>
    <w:rsid w:val="00FB4F84"/>
    <w:rsid w:val="00FB52F3"/>
    <w:rsid w:val="00FB556B"/>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4DBA"/>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B5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119C0-60BB-4209-80D5-BEE914AF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3</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228</cp:revision>
  <cp:lastPrinted>2012-03-15T10:36:00Z</cp:lastPrinted>
  <dcterms:created xsi:type="dcterms:W3CDTF">2016-03-31T10:20:00Z</dcterms:created>
  <dcterms:modified xsi:type="dcterms:W3CDTF">2016-09-30T22:46:00Z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